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考试科目：8</w:t>
      </w:r>
      <w:r>
        <w:rPr>
          <w:rFonts w:hint="eastAsia" w:ascii="宋体" w:hAnsi="宋体" w:eastAsia="宋体" w:cs="宋体"/>
          <w:b w:val="0"/>
          <w:bCs w:val="0"/>
          <w:sz w:val="20"/>
          <w:szCs w:val="20"/>
          <w:lang w:val="en-US" w:eastAsia="zh-CN"/>
        </w:rPr>
        <w:t>52</w:t>
      </w:r>
      <w:r>
        <w:rPr>
          <w:rFonts w:hint="eastAsia" w:ascii="宋体" w:hAnsi="宋体" w:eastAsia="宋体" w:cs="宋体"/>
          <w:b w:val="0"/>
          <w:bCs w:val="0"/>
          <w:sz w:val="20"/>
          <w:szCs w:val="20"/>
        </w:rPr>
        <w:t>有机化学</w:t>
      </w:r>
      <w:bookmarkStart w:id="0" w:name="_GoBack"/>
      <w:bookmarkEnd w:id="0"/>
    </w:p>
    <w:tbl>
      <w:tblPr>
        <w:tblStyle w:val="4"/>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6" w:type="dxa"/>
            <w:vAlign w:val="top"/>
          </w:tcPr>
          <w:p>
            <w:pPr>
              <w:keepNext w:val="0"/>
              <w:keepLines w:val="0"/>
              <w:pageBreakBefore w:val="0"/>
              <w:widowControl w:val="0"/>
              <w:numPr>
                <w:ilvl w:val="0"/>
                <w:numId w:val="1"/>
              </w:numPr>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复习要求：</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有机化学》考试大纲适用于上海大学化学工程与技术专业的硕士研究生入学考试，有机化学是化学学科中最庞大的重要分支。它的内容博大丰富，要求考生对其基本概念有较深入的了解，能够系统的掌握各类化合物的命名、结构、性质及制备等内容，能完成命名、反应、鉴定、结构推测、合成等各类问题，熟悉典型的反应机理及概念，具有综合运用所学知识分析问题及解决问题的能力。</w:t>
            </w:r>
          </w:p>
          <w:p>
            <w:pPr>
              <w:pStyle w:val="2"/>
              <w:keepNext w:val="0"/>
              <w:keepLines w:val="0"/>
              <w:pageBreakBefore w:val="0"/>
              <w:widowControl w:val="0"/>
              <w:kinsoku/>
              <w:wordWrap/>
              <w:overflowPunct/>
              <w:topLinePunct w:val="0"/>
              <w:autoSpaceDE/>
              <w:autoSpaceDN/>
              <w:bidi w:val="0"/>
              <w:snapToGrid w:val="0"/>
              <w:spacing w:line="240" w:lineRule="atLeast"/>
              <w:ind w:right="0" w:rightChars="0" w:firstLine="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考试题型：</w:t>
            </w:r>
          </w:p>
          <w:p>
            <w:pPr>
              <w:keepNext w:val="0"/>
              <w:keepLines w:val="0"/>
              <w:pageBreakBefore w:val="0"/>
              <w:widowControl w:val="0"/>
              <w:kinsoku/>
              <w:wordWrap/>
              <w:overflowPunct/>
              <w:topLinePunct w:val="0"/>
              <w:autoSpaceDE/>
              <w:autoSpaceDN/>
              <w:bidi w:val="0"/>
              <w:snapToGrid w:val="0"/>
              <w:spacing w:line="240" w:lineRule="atLeast"/>
              <w:ind w:right="0" w:rightChars="0"/>
              <w:jc w:val="left"/>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1) 命名化合物或给出结构式                20～30% .</w:t>
            </w:r>
          </w:p>
          <w:p>
            <w:pPr>
              <w:keepNext w:val="0"/>
              <w:keepLines w:val="0"/>
              <w:pageBreakBefore w:val="0"/>
              <w:widowControl w:val="0"/>
              <w:kinsoku/>
              <w:wordWrap/>
              <w:overflowPunct/>
              <w:topLinePunct w:val="0"/>
              <w:autoSpaceDE/>
              <w:autoSpaceDN/>
              <w:bidi w:val="0"/>
              <w:snapToGrid w:val="0"/>
              <w:spacing w:line="240" w:lineRule="atLeast"/>
              <w:ind w:right="0" w:rightChars="0"/>
              <w:jc w:val="left"/>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2) 选择题                                20～30% .</w:t>
            </w:r>
          </w:p>
          <w:p>
            <w:pPr>
              <w:keepNext w:val="0"/>
              <w:keepLines w:val="0"/>
              <w:pageBreakBefore w:val="0"/>
              <w:widowControl w:val="0"/>
              <w:kinsoku/>
              <w:wordWrap/>
              <w:overflowPunct/>
              <w:topLinePunct w:val="0"/>
              <w:autoSpaceDE/>
              <w:autoSpaceDN/>
              <w:bidi w:val="0"/>
              <w:snapToGrid w:val="0"/>
              <w:spacing w:line="240" w:lineRule="atLeast"/>
              <w:ind w:right="0" w:rightChars="0"/>
              <w:jc w:val="left"/>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3) 排序题                                10～15% .</w:t>
            </w:r>
          </w:p>
          <w:p>
            <w:pPr>
              <w:keepNext w:val="0"/>
              <w:keepLines w:val="0"/>
              <w:pageBreakBefore w:val="0"/>
              <w:widowControl w:val="0"/>
              <w:kinsoku/>
              <w:wordWrap/>
              <w:overflowPunct/>
              <w:topLinePunct w:val="0"/>
              <w:autoSpaceDE/>
              <w:autoSpaceDN/>
              <w:bidi w:val="0"/>
              <w:snapToGrid w:val="0"/>
              <w:spacing w:line="240" w:lineRule="atLeast"/>
              <w:ind w:right="0" w:rightChars="0"/>
              <w:jc w:val="left"/>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4) 有机化学反应题                        10～20% .</w:t>
            </w:r>
          </w:p>
          <w:p>
            <w:pPr>
              <w:keepNext w:val="0"/>
              <w:keepLines w:val="0"/>
              <w:pageBreakBefore w:val="0"/>
              <w:widowControl w:val="0"/>
              <w:kinsoku/>
              <w:wordWrap/>
              <w:overflowPunct/>
              <w:topLinePunct w:val="0"/>
              <w:autoSpaceDE/>
              <w:autoSpaceDN/>
              <w:bidi w:val="0"/>
              <w:snapToGrid w:val="0"/>
              <w:spacing w:line="240" w:lineRule="atLeast"/>
              <w:ind w:right="0" w:rightChars="0"/>
              <w:jc w:val="left"/>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5) 问答题                                 5～10% .</w:t>
            </w:r>
          </w:p>
          <w:p>
            <w:pPr>
              <w:keepNext w:val="0"/>
              <w:keepLines w:val="0"/>
              <w:pageBreakBefore w:val="0"/>
              <w:widowControl w:val="0"/>
              <w:kinsoku/>
              <w:wordWrap/>
              <w:overflowPunct/>
              <w:topLinePunct w:val="0"/>
              <w:autoSpaceDE/>
              <w:autoSpaceDN/>
              <w:bidi w:val="0"/>
              <w:snapToGrid w:val="0"/>
              <w:spacing w:line="240" w:lineRule="atLeast"/>
              <w:ind w:right="0" w:rightChars="0"/>
              <w:jc w:val="left"/>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6)推断结构式或反应机理                   10～15%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6" w:type="dxa"/>
            <w:vAlign w:val="top"/>
          </w:tcPr>
          <w:p>
            <w:pPr>
              <w:keepNext w:val="0"/>
              <w:keepLines w:val="0"/>
              <w:pageBreakBefore w:val="0"/>
              <w:widowControl w:val="0"/>
              <w:numPr>
                <w:ilvl w:val="0"/>
                <w:numId w:val="1"/>
              </w:numPr>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主要复习内容：</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１、有机化合物的同分异构、立体异构、命名及物性</w:t>
            </w:r>
            <w:r>
              <w:rPr>
                <w:rFonts w:hint="eastAsia" w:ascii="宋体" w:hAnsi="宋体" w:eastAsia="宋体" w:cs="宋体"/>
                <w:b w:val="0"/>
                <w:bCs w:val="0"/>
                <w:sz w:val="20"/>
                <w:szCs w:val="20"/>
              </w:rPr>
              <w:br w:type="textWrapping"/>
            </w:r>
            <w:r>
              <w:rPr>
                <w:rFonts w:hint="eastAsia" w:ascii="宋体" w:hAnsi="宋体" w:eastAsia="宋体" w:cs="宋体"/>
                <w:b w:val="0"/>
                <w:bCs w:val="0"/>
                <w:sz w:val="20"/>
                <w:szCs w:val="20"/>
              </w:rPr>
              <w:t>（1）有机化合物的同分异构、立体异构现象，及其结构式的各种表示方法。</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（2）有机化合物的IUPAC命名原则。重点掌握次序规则和立体构型的命名原则。</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（3）有机化合物的结构与物理性质之间关系。分子的极性、对称性、氢键、亲水憎（疏）水性与有机化合物的偶极矩、熔点、沸点、溶解度等之间的关系。</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2、有机化合物结构的各种效应与活性中间体稳定性和酸碱强度关系</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（1）诱导效应、共轭效应（共振论简介）、超共轭效应、立体效应、场效应、氢键效应、芳香性等概念和应用。</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（2）碳正离子、碳负离子、碳自由基、σ-络合物、卡宾等活性中间体的稳定性。</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（3）Brönsted 酸碱（质子论）、Lewis酸碱（电子论）的强度比较。</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（4）软硬酸碱理论（HSAB原理）的基本概念和初步应用。</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rPr>
              <w:t>有机化学反应</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（1）重要官能团化合物的典型反应及相互转换的常用方法</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重要官能团化合物：烷烃、烯烃、炔烃、卤代烃、芳烃、醇、酚、醚、醛、酮、醌、羧酸及其衍生物、胺及其他含氮化合物、基本杂环体系、碳水化合物。</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（2）主要有机反应：取代反应、加成反应、消除反应、缩合反应、芳香族亲电、亲核取代反应、氧化还原反应、重排反应、自由基反应、周环反应（环加成、电环化、σ-迁移）。 </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（3）重要有机人名反应。</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4、有机化学反应机理</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（1）有机反应势能图及过渡态和中间体的相关概念</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（2）脂肪族亲核反应历程；S</w:t>
            </w:r>
            <w:r>
              <w:rPr>
                <w:rFonts w:hint="eastAsia" w:ascii="宋体" w:hAnsi="宋体" w:eastAsia="宋体" w:cs="宋体"/>
                <w:b w:val="0"/>
                <w:bCs w:val="0"/>
                <w:sz w:val="20"/>
                <w:szCs w:val="20"/>
                <w:vertAlign w:val="subscript"/>
              </w:rPr>
              <w:t>N</w:t>
            </w:r>
            <w:r>
              <w:rPr>
                <w:rFonts w:hint="eastAsia" w:ascii="宋体" w:hAnsi="宋体" w:eastAsia="宋体" w:cs="宋体"/>
                <w:b w:val="0"/>
                <w:bCs w:val="0"/>
                <w:sz w:val="20"/>
                <w:szCs w:val="20"/>
              </w:rPr>
              <w:t>1、S</w:t>
            </w:r>
            <w:r>
              <w:rPr>
                <w:rFonts w:hint="eastAsia" w:ascii="宋体" w:hAnsi="宋体" w:eastAsia="宋体" w:cs="宋体"/>
                <w:b w:val="0"/>
                <w:bCs w:val="0"/>
                <w:sz w:val="20"/>
                <w:szCs w:val="20"/>
                <w:vertAlign w:val="subscript"/>
              </w:rPr>
              <w:t>N</w:t>
            </w:r>
            <w:r>
              <w:rPr>
                <w:rFonts w:hint="eastAsia" w:ascii="宋体" w:hAnsi="宋体" w:eastAsia="宋体" w:cs="宋体"/>
                <w:b w:val="0"/>
                <w:bCs w:val="0"/>
                <w:sz w:val="20"/>
                <w:szCs w:val="20"/>
              </w:rPr>
              <w:t>2、S</w:t>
            </w:r>
            <w:r>
              <w:rPr>
                <w:rFonts w:hint="eastAsia" w:ascii="宋体" w:hAnsi="宋体" w:eastAsia="宋体" w:cs="宋体"/>
                <w:b w:val="0"/>
                <w:bCs w:val="0"/>
                <w:sz w:val="20"/>
                <w:szCs w:val="20"/>
                <w:vertAlign w:val="subscript"/>
              </w:rPr>
              <w:t>N</w:t>
            </w:r>
            <w:r>
              <w:rPr>
                <w:rFonts w:hint="eastAsia" w:ascii="宋体" w:hAnsi="宋体" w:eastAsia="宋体" w:cs="宋体"/>
                <w:b w:val="0"/>
                <w:bCs w:val="0"/>
                <w:sz w:val="20"/>
                <w:szCs w:val="20"/>
              </w:rPr>
              <w:t>i机理。及其受物结构、离去基团、亲核试剂、溶剂和邻基参与等对反应速度、立体化学的影响。</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（3）消除反应历程；E</w:t>
            </w:r>
            <w:r>
              <w:rPr>
                <w:rFonts w:hint="eastAsia" w:ascii="宋体" w:hAnsi="宋体" w:eastAsia="宋体" w:cs="宋体"/>
                <w:b w:val="0"/>
                <w:bCs w:val="0"/>
                <w:sz w:val="20"/>
                <w:szCs w:val="20"/>
                <w:vertAlign w:val="subscript"/>
              </w:rPr>
              <w:t>1</w:t>
            </w:r>
            <w:r>
              <w:rPr>
                <w:rFonts w:hint="eastAsia" w:ascii="宋体" w:hAnsi="宋体" w:eastAsia="宋体" w:cs="宋体"/>
                <w:b w:val="0"/>
                <w:bCs w:val="0"/>
                <w:sz w:val="20"/>
                <w:szCs w:val="20"/>
              </w:rPr>
              <w:t>、E</w:t>
            </w:r>
            <w:r>
              <w:rPr>
                <w:rFonts w:hint="eastAsia" w:ascii="宋体" w:hAnsi="宋体" w:eastAsia="宋体" w:cs="宋体"/>
                <w:b w:val="0"/>
                <w:bCs w:val="0"/>
                <w:sz w:val="20"/>
                <w:szCs w:val="20"/>
                <w:vertAlign w:val="subscript"/>
              </w:rPr>
              <w:t>2</w:t>
            </w:r>
            <w:r>
              <w:rPr>
                <w:rFonts w:hint="eastAsia" w:ascii="宋体" w:hAnsi="宋体" w:eastAsia="宋体" w:cs="宋体"/>
                <w:b w:val="0"/>
                <w:bCs w:val="0"/>
                <w:sz w:val="20"/>
                <w:szCs w:val="20"/>
              </w:rPr>
              <w:t>、E</w:t>
            </w:r>
            <w:r>
              <w:rPr>
                <w:rFonts w:hint="eastAsia" w:ascii="宋体" w:hAnsi="宋体" w:eastAsia="宋体" w:cs="宋体"/>
                <w:b w:val="0"/>
                <w:bCs w:val="0"/>
                <w:sz w:val="20"/>
                <w:szCs w:val="20"/>
                <w:vertAlign w:val="subscript"/>
              </w:rPr>
              <w:t>1</w:t>
            </w:r>
            <w:r>
              <w:rPr>
                <w:rFonts w:hint="eastAsia" w:ascii="宋体" w:hAnsi="宋体" w:eastAsia="宋体" w:cs="宋体"/>
                <w:b w:val="0"/>
                <w:bCs w:val="0"/>
                <w:sz w:val="20"/>
                <w:szCs w:val="20"/>
              </w:rPr>
              <w:t>CB机理。Saytzeff消除、Hoffmann消除、Cope消除的方向问题。</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（4）加成反应历程；Ad</w:t>
            </w:r>
            <w:r>
              <w:rPr>
                <w:rFonts w:hint="eastAsia" w:ascii="宋体" w:hAnsi="宋体" w:eastAsia="宋体" w:cs="宋体"/>
                <w:b w:val="0"/>
                <w:bCs w:val="0"/>
                <w:sz w:val="20"/>
                <w:szCs w:val="20"/>
                <w:vertAlign w:val="subscript"/>
              </w:rPr>
              <w:t>E</w:t>
            </w:r>
            <w:r>
              <w:rPr>
                <w:rFonts w:hint="eastAsia" w:ascii="宋体" w:hAnsi="宋体" w:eastAsia="宋体" w:cs="宋体"/>
                <w:b w:val="0"/>
                <w:bCs w:val="0"/>
                <w:sz w:val="20"/>
                <w:szCs w:val="20"/>
              </w:rPr>
              <w:t>2和Ad3机理。碳镔离子和碳鎓离子之间的区别和产生。了解碳正离子的重排，σ-参与和π-参与。了解硼氢化反应和卡宾的插入反应。</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（5）芳香族亲电、亲核取代反应历程。σ-络合物和定位效应。亲核取代反应的麦深海默中间体、苯炔、苯正离子三种机理。掌握重氮化反应及其应用。</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（6）羰基的亲核加成——消除历程。酸碱催化的缩合机理。掌握碳负离子的生成（供体）和其进攻羰基的位置（受体）生成碳碳键的反应机理。</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（7）周环反应（环加成、电环化、σ-迁移）的反应机理和立体化学。能应用W—H选择性定则和判别Hückel体系和Möbius体系。</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5、有机合成</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（1）官能团导入、转换、保护。</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（2）碳碳键形成及断裂的基本方法。</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（3）逆向合成分析；设计一个合成的例行程序；识别官能团，切断（几大类有机反应，几种典型结构的切断），原料的选择，合成步骤的设计，选择性反应及保护基的应用，立体化学控制。</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6、有机立体化学</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（1）几何异构、对映异构、构象异构等静态立体化学的基本概念。</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（2）取代、加成、消除、重排、周环反应中的立体化学。</w:t>
            </w:r>
          </w:p>
          <w:p>
            <w:pPr>
              <w:keepNext w:val="0"/>
              <w:keepLines w:val="0"/>
              <w:pageBreakBefore w:val="0"/>
              <w:widowControl w:val="0"/>
              <w:kinsoku/>
              <w:wordWrap/>
              <w:overflowPunct/>
              <w:topLinePunct w:val="0"/>
              <w:autoSpaceDE/>
              <w:autoSpaceDN/>
              <w:bidi w:val="0"/>
              <w:snapToGrid w:val="0"/>
              <w:spacing w:line="240" w:lineRule="atLeast"/>
              <w:ind w:right="0" w:rightChars="0"/>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（3）不对称合成简介。</w:t>
            </w:r>
          </w:p>
        </w:tc>
      </w:tr>
    </w:tbl>
    <w:p>
      <w:pPr>
        <w:keepNext w:val="0"/>
        <w:keepLines w:val="0"/>
        <w:pageBreakBefore w:val="0"/>
        <w:widowControl w:val="0"/>
        <w:kinsoku/>
        <w:wordWrap/>
        <w:overflowPunct/>
        <w:topLinePunct w:val="0"/>
        <w:autoSpaceDE/>
        <w:autoSpaceDN/>
        <w:bidi w:val="0"/>
        <w:spacing w:line="240" w:lineRule="atLeast"/>
        <w:ind w:right="0" w:rightChars="0"/>
        <w:outlineLvl w:val="9"/>
        <w:rPr>
          <w:rFonts w:hint="eastAsia" w:ascii="宋体" w:hAnsi="宋体" w:eastAsia="宋体" w:cs="宋体"/>
          <w:b w:val="0"/>
          <w:bCs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lvlText w:val="%1、"/>
      <w:lvlJc w:val="left"/>
      <w:pPr>
        <w:tabs>
          <w:tab w:val="left" w:pos="450"/>
        </w:tabs>
        <w:ind w:left="450" w:hanging="4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E055B"/>
    <w:rsid w:val="0A72669B"/>
    <w:rsid w:val="6C2520B1"/>
    <w:rsid w:val="7F0E05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pacing w:line="500" w:lineRule="exact"/>
      <w:ind w:firstLine="480"/>
      <w:jc w:val="left"/>
      <w:textAlignment w:val="baseline"/>
    </w:pPr>
    <w:rPr>
      <w:b/>
      <w:kern w:val="0"/>
      <w:sz w:val="24"/>
      <w:szCs w:val="20"/>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2016-05-25T05:52:00Z</dcterms:created>
  <dc:creator>Administrator</dc:creator>
  <cp:lastModifiedBy>Administrator</cp:lastModifiedBy>
  <dcterms:modified xsi:type="dcterms:W3CDTF">2016-06-30T01:10:37Z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