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bookmarkStart w:id="1" w:name="_GoBack"/>
      <w:r>
        <w:rPr>
          <w:rFonts w:ascii="黑体" w:hAnsi="宋体" w:eastAsia="黑体" w:cs="黑体"/>
          <w:b w:val="0"/>
          <w:i w:val="0"/>
          <w:caps w:val="0"/>
          <w:color w:val="000000"/>
          <w:spacing w:val="0"/>
          <w:kern w:val="0"/>
          <w:sz w:val="32"/>
          <w:szCs w:val="32"/>
          <w:bdr w:val="none" w:color="auto" w:sz="0" w:space="0"/>
          <w:shd w:val="clear" w:fill="FFFFFF"/>
          <w:lang w:val="en-US" w:eastAsia="zh-CN" w:bidi="ar"/>
        </w:rPr>
        <w:t>2019</w:t>
      </w:r>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年工商管理硕士（MBA）招生简章</w:t>
      </w:r>
    </w:p>
    <w:bookmarkEnd w:id="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（全日制、非全日制均招生，双证）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一、MBA教育简介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国内最早设置工商管理专业的高校之一，培养单位为国际商学院。我校MBA项目自1982年始便创建了企业管理专业，开创了国内管理学界引进西方教育体系、原版教材和全英文授课之先河。我校曾于1988年得到美国同类大学MBA资格认可承认。1993年我校成为全国第二批次MBA试点院校（第一批9所，第二批17所）并开始招收工商管理专业硕士研究生，目前拥有在校生500余人，校友4000余人。2002年我校成为全国首批获准开办EMBA的30所试点院校之一，迄今为止已培养了2000余名来自各行各业的高级管理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近年来，国际商学院注重内在质量和外在品牌的双重提升，先后顺利通过EQUIS国际认证</w:t>
      </w:r>
      <w:bookmarkStart w:id="0" w:name="OLE_LINK2"/>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t>、AACSB国际认证</w:t>
      </w:r>
      <w:bookmarkEnd w:id="0"/>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国高质量MBA教育认证、ABMA国际认证，成为了囊括国内、国外针对商学教育和MBA教育最权威认证评估的领先商学院。同时，学院还顺利通过教育部评估中心首批（家）会计专业认证、中俄首家工商管理专业认证和中俄首家财务管理专业认证等。国际商学院正日益成为“最懂中国的商学院” 和“最懂世界的商学院”。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MBA项目依据国内、国际认证标准制定人才培养模式，致力于培养全球化的高素质经营管理人才，一贯秉承管理教育的国际化特色，注重跟踪国际上MBA教育的发展动向，不断调整和更新课程体系和教学方法；注重管理学科的系统化综合运用，外语与专业并重，大量使用英文原版教材和案例授课；注重理论与实践相结合，教授授课与"第二课堂"活动相结合。依托于最具价值商学院的平台，，我校MBA项目以一流的教育品质得到了社会大众和媒体机构的高度关注，在各项评比排名中均名列前茅，成绩斐然，荣膺“中国最具价值MBA/EMBA”、“中国最佳MBA/EMBA”、“中国最具影响力MBA” “最具特色竞争力EMBA项目”等称号。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国际商学院MBA项目目前开设四个子项目，分别为：国际MBA项目（全日制）、国际MBA项目（在职英文）、在职MBA项目（在职中文）和EMBA项目（在职中文）。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60"/>
        <w:jc w:val="left"/>
        <w:rPr>
          <w:rFonts w:hint="default" w:ascii="MicrosoftYaHei" w:hAnsi="MicrosoftYaHei" w:eastAsia="MicrosoftYaHei" w:cs="MicrosoftYaHei"/>
          <w:b w:val="0"/>
          <w:i w:val="0"/>
          <w:caps w:val="0"/>
          <w:color w:val="000000"/>
          <w:spacing w:val="0"/>
          <w:sz w:val="18"/>
          <w:szCs w:val="18"/>
        </w:rPr>
      </w:pPr>
      <w:r>
        <w:rPr>
          <w:rFonts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二、2019年招生工作安排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招生类别分为四个子项目：国际MBA项目（全日制）、国际MBA项目（在职英文）、在职MBA项目（在职中文）和EMBA项目（在职中文）。各子项目设置独立的招生标准，分别依序招生，在简历评审、面试选拔等环节各自排序，差额优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2.招生形式分为提前批次招生和正常批次招生两种类型。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考生可根据报考时间表选择参与招生的项目类别和批次。在提前批次招生工作阶段，每位考生只拥有一次参与提前批次招生的机会。申请任意子项目并获得“提前批次面试通过”资格后，原则上不做任何项目调整；申请任意子项目失利后可继续参加正常批次招考；未参与提前批次招生的考生可直接参加正常批次招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提前批次招生安排于2018年5月至10月进行，参加提前批次招生的考生须在指定期间内在线提交申请材料，经过材料评审，择优给予面试资格；经过面试给予综合素质优秀的考生“提前批次面试通过”资格；原则上，该类考生参加本专业全国研究生考试，成绩达到国家A线、并参加必要的复试程序后即可获得拟录取资格（以当年国家政策和学校要求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5.在线申请日期对应了面试批次及相关安排，书面材料的审核将统一在面试环节进行。</w:t>
      </w:r>
    </w:p>
    <w:tbl>
      <w:tblPr>
        <w:tblpPr w:vertAnchor="text" w:tblpXSpec="left"/>
        <w:tblW w:w="14382"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1614"/>
        <w:gridCol w:w="3669"/>
        <w:gridCol w:w="2788"/>
        <w:gridCol w:w="3082"/>
        <w:gridCol w:w="3229"/>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54" w:hRule="atLeast"/>
        </w:trPr>
        <w:tc>
          <w:tcPr>
            <w:tcW w:w="161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面试批次</w:t>
            </w:r>
          </w:p>
        </w:tc>
        <w:tc>
          <w:tcPr>
            <w:tcW w:w="366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在线申请截止日期</w:t>
            </w:r>
          </w:p>
        </w:tc>
        <w:tc>
          <w:tcPr>
            <w:tcW w:w="2788"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面试资格公布日期</w:t>
            </w:r>
          </w:p>
        </w:tc>
        <w:tc>
          <w:tcPr>
            <w:tcW w:w="308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面试日期</w:t>
            </w:r>
          </w:p>
        </w:tc>
        <w:tc>
          <w:tcPr>
            <w:tcW w:w="322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面试结果公布日期</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54" w:hRule="atLeast"/>
        </w:trPr>
        <w:tc>
          <w:tcPr>
            <w:tcW w:w="161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第一批次</w:t>
            </w:r>
          </w:p>
        </w:tc>
        <w:tc>
          <w:tcPr>
            <w:tcW w:w="3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7月1日（周日）24时</w:t>
            </w:r>
          </w:p>
        </w:tc>
        <w:tc>
          <w:tcPr>
            <w:tcW w:w="278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面试前3个工作日</w:t>
            </w:r>
          </w:p>
        </w:tc>
        <w:tc>
          <w:tcPr>
            <w:tcW w:w="308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7月15日（周日）</w:t>
            </w:r>
          </w:p>
        </w:tc>
        <w:tc>
          <w:tcPr>
            <w:tcW w:w="322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面试后5个工作日内</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54" w:hRule="atLeast"/>
        </w:trPr>
        <w:tc>
          <w:tcPr>
            <w:tcW w:w="161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第二批次</w:t>
            </w:r>
          </w:p>
        </w:tc>
        <w:tc>
          <w:tcPr>
            <w:tcW w:w="3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8月5日（周日）24时</w:t>
            </w:r>
          </w:p>
        </w:tc>
        <w:tc>
          <w:tcPr>
            <w:tcW w:w="278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面试前3个工作日</w:t>
            </w:r>
          </w:p>
        </w:tc>
        <w:tc>
          <w:tcPr>
            <w:tcW w:w="308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9月1日（周六）</w:t>
            </w:r>
          </w:p>
        </w:tc>
        <w:tc>
          <w:tcPr>
            <w:tcW w:w="322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面试后5个工作日内</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54" w:hRule="atLeast"/>
        </w:trPr>
        <w:tc>
          <w:tcPr>
            <w:tcW w:w="161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第三批次</w:t>
            </w:r>
          </w:p>
        </w:tc>
        <w:tc>
          <w:tcPr>
            <w:tcW w:w="3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9月9日（周日）24时</w:t>
            </w:r>
          </w:p>
        </w:tc>
        <w:tc>
          <w:tcPr>
            <w:tcW w:w="278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面试前3个工作日</w:t>
            </w:r>
          </w:p>
        </w:tc>
        <w:tc>
          <w:tcPr>
            <w:tcW w:w="308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9月22日（周六）</w:t>
            </w:r>
          </w:p>
        </w:tc>
        <w:tc>
          <w:tcPr>
            <w:tcW w:w="322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面试后5个工作日内</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54" w:hRule="atLeast"/>
        </w:trPr>
        <w:tc>
          <w:tcPr>
            <w:tcW w:w="161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第四批次</w:t>
            </w:r>
          </w:p>
        </w:tc>
        <w:tc>
          <w:tcPr>
            <w:tcW w:w="3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10月7日（周日）24时</w:t>
            </w:r>
          </w:p>
        </w:tc>
        <w:tc>
          <w:tcPr>
            <w:tcW w:w="278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面试前3个工作日</w:t>
            </w:r>
          </w:p>
        </w:tc>
        <w:tc>
          <w:tcPr>
            <w:tcW w:w="308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10月21日（周日）</w:t>
            </w:r>
          </w:p>
        </w:tc>
        <w:tc>
          <w:tcPr>
            <w:tcW w:w="322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面试后5个工作日内</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54" w:hRule="atLeast"/>
        </w:trPr>
        <w:tc>
          <w:tcPr>
            <w:tcW w:w="161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正常批</w:t>
            </w:r>
          </w:p>
        </w:tc>
        <w:tc>
          <w:tcPr>
            <w:tcW w:w="3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联考分数线公布后</w:t>
            </w:r>
          </w:p>
        </w:tc>
        <w:tc>
          <w:tcPr>
            <w:tcW w:w="278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面试前3个工作日</w:t>
            </w:r>
          </w:p>
        </w:tc>
        <w:tc>
          <w:tcPr>
            <w:tcW w:w="308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联考分数线公布后</w:t>
            </w:r>
          </w:p>
        </w:tc>
        <w:tc>
          <w:tcPr>
            <w:tcW w:w="322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bdr w:val="none" w:color="auto" w:sz="0" w:space="0"/>
                <w:lang w:val="en-US" w:eastAsia="zh-CN" w:bidi="ar"/>
              </w:rPr>
              <w:t>以学校要求为准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设置三种类别新生入学奖学金，鼓励在提前批次招生环节综合素质优秀的考生以及联考笔试环节取得好成绩的考生。其中，联考普惠入学奖学金仅面向国际MBA项目（在职英文）和在职MBA项目（在职中文）两个子项目；提前批次招生入学奖学金仅面向国际MBA项目（在职英文）和在职MBA项目（在职中文）两个子项目；EMBA专项入学奖学金仅面向EMBA项目（在职中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三、项目分类</w:t>
      </w:r>
    </w:p>
    <w:tbl>
      <w:tblPr>
        <w:tblW w:w="852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1057"/>
        <w:gridCol w:w="1719"/>
        <w:gridCol w:w="1817"/>
        <w:gridCol w:w="1575"/>
        <w:gridCol w:w="235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PrEx>
        <w:tc>
          <w:tcPr>
            <w:tcW w:w="1057"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3"/>
                <w:rFonts w:hint="eastAsia" w:ascii="宋体" w:hAnsi="宋体" w:eastAsia="宋体" w:cs="宋体"/>
                <w:kern w:val="0"/>
                <w:sz w:val="24"/>
                <w:szCs w:val="24"/>
                <w:bdr w:val="none" w:color="auto" w:sz="0" w:space="0"/>
                <w:lang w:val="en-US" w:eastAsia="zh-CN" w:bidi="ar"/>
              </w:rPr>
              <w:t>子项目</w:t>
            </w:r>
          </w:p>
        </w:tc>
        <w:tc>
          <w:tcPr>
            <w:tcW w:w="171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jc w:val="center"/>
            </w:pPr>
            <w:r>
              <w:rPr>
                <w:rStyle w:val="3"/>
                <w:rFonts w:hint="eastAsia" w:ascii="宋体" w:hAnsi="宋体" w:eastAsia="宋体" w:cs="宋体"/>
                <w:kern w:val="0"/>
                <w:sz w:val="24"/>
                <w:szCs w:val="24"/>
                <w:bdr w:val="none" w:color="auto" w:sz="0" w:space="0"/>
                <w:lang w:val="en-US" w:eastAsia="zh-CN" w:bidi="ar"/>
              </w:rPr>
              <w:t>国际MBA项目（全日制）</w:t>
            </w:r>
          </w:p>
        </w:tc>
        <w:tc>
          <w:tcPr>
            <w:tcW w:w="181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jc w:val="center"/>
            </w:pPr>
            <w:r>
              <w:rPr>
                <w:rStyle w:val="3"/>
                <w:rFonts w:hint="eastAsia" w:ascii="宋体" w:hAnsi="宋体" w:eastAsia="宋体" w:cs="宋体"/>
                <w:kern w:val="0"/>
                <w:sz w:val="24"/>
                <w:szCs w:val="24"/>
                <w:bdr w:val="none" w:color="auto" w:sz="0" w:space="0"/>
                <w:lang w:val="en-US" w:eastAsia="zh-CN" w:bidi="ar"/>
              </w:rPr>
              <w:t>国际MBA项目（在职英文）</w:t>
            </w:r>
          </w:p>
        </w:tc>
        <w:tc>
          <w:tcPr>
            <w:tcW w:w="157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3"/>
                <w:rFonts w:hint="eastAsia" w:ascii="宋体" w:hAnsi="宋体" w:eastAsia="宋体" w:cs="宋体"/>
                <w:kern w:val="0"/>
                <w:sz w:val="24"/>
                <w:szCs w:val="24"/>
                <w:bdr w:val="none" w:color="auto" w:sz="0" w:space="0"/>
                <w:lang w:val="en-US" w:eastAsia="zh-CN" w:bidi="ar"/>
              </w:rPr>
              <w:t>在职MBA项目（在职中文）</w:t>
            </w:r>
          </w:p>
        </w:tc>
        <w:tc>
          <w:tcPr>
            <w:tcW w:w="235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jc w:val="center"/>
            </w:pPr>
            <w:r>
              <w:rPr>
                <w:rStyle w:val="3"/>
                <w:rFonts w:hint="eastAsia" w:ascii="宋体" w:hAnsi="宋体" w:eastAsia="宋体" w:cs="宋体"/>
                <w:kern w:val="0"/>
                <w:sz w:val="24"/>
                <w:szCs w:val="24"/>
                <w:bdr w:val="none" w:color="auto" w:sz="0" w:space="0"/>
                <w:lang w:val="en-US" w:eastAsia="zh-CN" w:bidi="ar"/>
              </w:rPr>
              <w:t>EMBA项目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jc w:val="center"/>
            </w:pPr>
            <w:r>
              <w:rPr>
                <w:rStyle w:val="3"/>
                <w:rFonts w:hint="eastAsia" w:ascii="宋体" w:hAnsi="宋体" w:eastAsia="宋体" w:cs="宋体"/>
                <w:kern w:val="0"/>
                <w:sz w:val="24"/>
                <w:szCs w:val="24"/>
                <w:bdr w:val="none" w:color="auto" w:sz="0" w:space="0"/>
                <w:lang w:val="en-US" w:eastAsia="zh-CN" w:bidi="ar"/>
              </w:rPr>
              <w:t>（在职中文）</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0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3"/>
                <w:rFonts w:hint="eastAsia" w:ascii="宋体" w:hAnsi="宋体" w:eastAsia="宋体" w:cs="宋体"/>
                <w:kern w:val="0"/>
                <w:sz w:val="24"/>
                <w:szCs w:val="24"/>
                <w:bdr w:val="none" w:color="auto" w:sz="0" w:space="0"/>
                <w:lang w:val="en-US" w:eastAsia="zh-CN" w:bidi="ar"/>
              </w:rPr>
              <w:t>目标</w:t>
            </w:r>
          </w:p>
        </w:tc>
        <w:tc>
          <w:tcPr>
            <w:tcW w:w="5111" w:type="dxa"/>
            <w:gridSpan w:val="3"/>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Fonts w:hint="eastAsia" w:ascii="宋体" w:hAnsi="宋体" w:eastAsia="宋体" w:cs="宋体"/>
                <w:kern w:val="0"/>
                <w:sz w:val="18"/>
                <w:szCs w:val="18"/>
                <w:bdr w:val="none" w:color="auto" w:sz="0" w:space="0"/>
                <w:lang w:val="en-US" w:eastAsia="zh-CN" w:bidi="ar"/>
              </w:rPr>
              <w:t>培养全球化的高素质经营管理人才</w:t>
            </w:r>
          </w:p>
        </w:tc>
        <w:tc>
          <w:tcPr>
            <w:tcW w:w="23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Fonts w:hint="eastAsia" w:ascii="宋体" w:hAnsi="宋体" w:eastAsia="宋体" w:cs="宋体"/>
                <w:kern w:val="0"/>
                <w:sz w:val="18"/>
                <w:szCs w:val="18"/>
                <w:bdr w:val="none" w:color="auto" w:sz="0" w:space="0"/>
                <w:lang w:val="en-US" w:eastAsia="zh-CN" w:bidi="ar"/>
              </w:rPr>
              <w:t>培育全球化经济中的企业领袖</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0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3"/>
                <w:rFonts w:hint="eastAsia" w:ascii="宋体" w:hAnsi="宋体" w:eastAsia="宋体" w:cs="宋体"/>
                <w:kern w:val="0"/>
                <w:sz w:val="24"/>
                <w:szCs w:val="24"/>
                <w:bdr w:val="none" w:color="auto" w:sz="0" w:space="0"/>
                <w:lang w:val="en-US" w:eastAsia="zh-CN" w:bidi="ar"/>
              </w:rPr>
              <w:t>定位</w:t>
            </w:r>
          </w:p>
        </w:tc>
        <w:tc>
          <w:tcPr>
            <w:tcW w:w="171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全球化导向，根植中国，面向世界，培养全球化领导能力</w:t>
            </w:r>
          </w:p>
        </w:tc>
        <w:tc>
          <w:tcPr>
            <w:tcW w:w="18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全球化导向，根植中国，面向世界，培养全球化领导能力</w:t>
            </w:r>
          </w:p>
        </w:tc>
        <w:tc>
          <w:tcPr>
            <w:tcW w:w="15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学业事业双发展，强化领导能力，拓展实力，促进职业发展</w:t>
            </w:r>
          </w:p>
        </w:tc>
        <w:tc>
          <w:tcPr>
            <w:tcW w:w="23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具有国际经营战略头脑和总揽全局的决策力，适应全球化竞争环境，职业素养和领导力全面提升</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0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3"/>
                <w:rFonts w:hint="eastAsia" w:ascii="宋体" w:hAnsi="宋体" w:eastAsia="宋体" w:cs="宋体"/>
                <w:kern w:val="0"/>
                <w:sz w:val="24"/>
                <w:szCs w:val="24"/>
                <w:bdr w:val="none" w:color="auto" w:sz="0" w:space="0"/>
                <w:lang w:val="en-US" w:eastAsia="zh-CN" w:bidi="ar"/>
              </w:rPr>
              <w:t>对象</w:t>
            </w:r>
          </w:p>
        </w:tc>
        <w:tc>
          <w:tcPr>
            <w:tcW w:w="171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有一定英语水平，寻求面向国际市场、跨国经营、国际创业以及全球</w:t>
            </w:r>
            <w:r>
              <w:rPr>
                <w:rFonts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国际竞争的职业提升与职业转型的中国学生</w:t>
            </w:r>
          </w:p>
        </w:tc>
        <w:tc>
          <w:tcPr>
            <w:tcW w:w="18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英文水平较好，职业状态较好，寻求国际商务技能提升和国际市场发展空间的北京及周边地区的中国学生</w:t>
            </w:r>
          </w:p>
        </w:tc>
        <w:tc>
          <w:tcPr>
            <w:tcW w:w="15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招收职业状态较好、希望提升能力和发展空间的北京及周边地区的考生</w:t>
            </w:r>
          </w:p>
        </w:tc>
        <w:tc>
          <w:tcPr>
            <w:tcW w:w="23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eastAsia" w:ascii="宋体" w:hAnsi="宋体" w:eastAsia="宋体" w:cs="宋体"/>
                <w:kern w:val="0"/>
                <w:sz w:val="18"/>
                <w:szCs w:val="18"/>
                <w:bdr w:val="none" w:color="auto" w:sz="0" w:space="0"/>
                <w:lang w:val="en-US" w:eastAsia="zh-CN" w:bidi="ar"/>
              </w:rPr>
              <w:t>具有多年管理经验，积累一定专业认知和社会资本的管理人员</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c>
          <w:tcPr>
            <w:tcW w:w="10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3"/>
                <w:rFonts w:hint="eastAsia" w:ascii="宋体" w:hAnsi="宋体" w:eastAsia="宋体" w:cs="宋体"/>
                <w:kern w:val="0"/>
                <w:sz w:val="24"/>
                <w:szCs w:val="24"/>
                <w:bdr w:val="none" w:color="auto" w:sz="0" w:space="0"/>
                <w:lang w:val="en-US" w:eastAsia="zh-CN" w:bidi="ar"/>
              </w:rPr>
              <w:t>招生计划</w:t>
            </w:r>
          </w:p>
        </w:tc>
        <w:tc>
          <w:tcPr>
            <w:tcW w:w="171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拟定30人</w:t>
            </w:r>
          </w:p>
        </w:tc>
        <w:tc>
          <w:tcPr>
            <w:tcW w:w="18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拟定30人</w:t>
            </w:r>
          </w:p>
        </w:tc>
        <w:tc>
          <w:tcPr>
            <w:tcW w:w="15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拟定170人</w:t>
            </w:r>
          </w:p>
        </w:tc>
        <w:tc>
          <w:tcPr>
            <w:tcW w:w="23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w:t>
            </w:r>
            <w:r>
              <w:rPr>
                <w:rFonts w:hint="eastAsia" w:ascii="宋体" w:hAnsi="宋体" w:eastAsia="宋体" w:cs="宋体"/>
                <w:color w:val="000000"/>
                <w:kern w:val="0"/>
                <w:sz w:val="18"/>
                <w:szCs w:val="18"/>
                <w:bdr w:val="none" w:color="auto" w:sz="0" w:space="0"/>
                <w:lang w:val="en-US" w:eastAsia="zh-CN" w:bidi="ar"/>
              </w:rPr>
              <w:t>30</w:t>
            </w:r>
            <w:r>
              <w:rPr>
                <w:rFonts w:hint="eastAsia" w:ascii="宋体" w:hAnsi="宋体" w:eastAsia="宋体" w:cs="宋体"/>
                <w:kern w:val="0"/>
                <w:sz w:val="18"/>
                <w:szCs w:val="18"/>
                <w:bdr w:val="none" w:color="auto" w:sz="0" w:space="0"/>
                <w:lang w:val="en-US" w:eastAsia="zh-CN" w:bidi="ar"/>
              </w:rPr>
              <w:t>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c>
          <w:tcPr>
            <w:tcW w:w="10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3"/>
                <w:rFonts w:hint="eastAsia" w:ascii="宋体" w:hAnsi="宋体" w:eastAsia="宋体" w:cs="宋体"/>
                <w:kern w:val="0"/>
                <w:sz w:val="24"/>
                <w:szCs w:val="24"/>
                <w:bdr w:val="none" w:color="auto" w:sz="0" w:space="0"/>
                <w:lang w:val="en-US" w:eastAsia="zh-CN" w:bidi="ar"/>
              </w:rPr>
              <w:t>学费</w:t>
            </w:r>
          </w:p>
        </w:tc>
        <w:tc>
          <w:tcPr>
            <w:tcW w:w="171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拟定14.8万元</w:t>
            </w:r>
          </w:p>
        </w:tc>
        <w:tc>
          <w:tcPr>
            <w:tcW w:w="18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拟定23.6万元</w:t>
            </w:r>
          </w:p>
        </w:tc>
        <w:tc>
          <w:tcPr>
            <w:tcW w:w="157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拟定22.8万元</w:t>
            </w:r>
          </w:p>
        </w:tc>
        <w:tc>
          <w:tcPr>
            <w:tcW w:w="235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18"/>
                <w:szCs w:val="18"/>
                <w:bdr w:val="none" w:color="auto" w:sz="0" w:space="0"/>
                <w:lang w:val="en-US" w:eastAsia="zh-CN" w:bidi="ar"/>
              </w:rPr>
              <w:t>拟定36万</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0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3"/>
                <w:rFonts w:hint="eastAsia" w:ascii="宋体" w:hAnsi="宋体" w:eastAsia="宋体" w:cs="宋体"/>
                <w:kern w:val="0"/>
                <w:sz w:val="24"/>
                <w:szCs w:val="24"/>
                <w:bdr w:val="none" w:color="auto" w:sz="0" w:space="0"/>
                <w:lang w:val="en-US" w:eastAsia="zh-CN" w:bidi="ar"/>
              </w:rPr>
              <w:t>学习方式</w:t>
            </w:r>
          </w:p>
        </w:tc>
        <w:tc>
          <w:tcPr>
            <w:tcW w:w="171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-2</w:t>
            </w:r>
            <w:r>
              <w:rPr>
                <w:rFonts w:hint="eastAsia" w:ascii="宋体" w:hAnsi="宋体" w:eastAsia="宋体" w:cs="宋体"/>
                <w:kern w:val="0"/>
                <w:sz w:val="18"/>
                <w:szCs w:val="18"/>
                <w:bdr w:val="none" w:color="auto" w:sz="0" w:space="0"/>
                <w:lang w:val="en-US" w:eastAsia="zh-CN" w:bidi="ar"/>
              </w:rPr>
              <w:t>年学制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双语授课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全日制脱产学习</w:t>
            </w:r>
          </w:p>
        </w:tc>
        <w:tc>
          <w:tcPr>
            <w:tcW w:w="1817"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-2</w:t>
            </w:r>
            <w:r>
              <w:rPr>
                <w:rFonts w:hint="eastAsia" w:ascii="宋体" w:hAnsi="宋体" w:eastAsia="宋体" w:cs="宋体"/>
                <w:kern w:val="0"/>
                <w:sz w:val="18"/>
                <w:szCs w:val="18"/>
                <w:bdr w:val="none" w:color="auto" w:sz="0" w:space="0"/>
                <w:lang w:val="en-US" w:eastAsia="zh-CN" w:bidi="ar"/>
              </w:rPr>
              <w:t>年学制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英文授课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在职不脱产，利用业余时间学习</w:t>
            </w:r>
          </w:p>
        </w:tc>
        <w:tc>
          <w:tcPr>
            <w:tcW w:w="1575"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-2</w:t>
            </w:r>
            <w:r>
              <w:rPr>
                <w:rFonts w:hint="eastAsia" w:ascii="宋体" w:hAnsi="宋体" w:eastAsia="宋体" w:cs="宋体"/>
                <w:kern w:val="0"/>
                <w:sz w:val="18"/>
                <w:szCs w:val="18"/>
                <w:bdr w:val="none" w:color="auto" w:sz="0" w:space="0"/>
                <w:lang w:val="en-US" w:eastAsia="zh-CN" w:bidi="ar"/>
              </w:rPr>
              <w:t>年学制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中文课程为主，可选部分英文课程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在职不脱产，利用业余时间学习</w:t>
            </w:r>
          </w:p>
        </w:tc>
        <w:tc>
          <w:tcPr>
            <w:tcW w:w="2352"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-2</w:t>
            </w:r>
            <w:r>
              <w:rPr>
                <w:rFonts w:hint="eastAsia" w:ascii="宋体" w:hAnsi="宋体" w:eastAsia="宋体" w:cs="宋体"/>
                <w:kern w:val="0"/>
                <w:sz w:val="18"/>
                <w:szCs w:val="18"/>
                <w:bdr w:val="none" w:color="auto" w:sz="0" w:space="0"/>
                <w:lang w:val="en-US" w:eastAsia="zh-CN" w:bidi="ar"/>
              </w:rPr>
              <w:t>年学制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中文课程为主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可同修美国马里兰</w:t>
            </w:r>
            <w:r>
              <w:rPr>
                <w:rFonts w:hint="default" w:ascii="’’’Times New Roman’’’" w:hAnsi="’’’Times New Roman’’’" w:eastAsia="’’’Times New Roman’’’" w:cs="’’’Times New Roman’’’"/>
                <w:kern w:val="0"/>
                <w:sz w:val="18"/>
                <w:szCs w:val="18"/>
                <w:bdr w:val="none" w:color="auto" w:sz="0" w:space="0"/>
                <w:lang w:val="en-US" w:eastAsia="zh-CN" w:bidi="ar"/>
              </w:rPr>
              <w:t>EMBA</w:t>
            </w:r>
            <w:r>
              <w:rPr>
                <w:rFonts w:hint="eastAsia" w:ascii="宋体" w:hAnsi="宋体" w:eastAsia="宋体" w:cs="宋体"/>
                <w:kern w:val="0"/>
                <w:sz w:val="18"/>
                <w:szCs w:val="18"/>
                <w:bdr w:val="none" w:color="auto" w:sz="0" w:space="0"/>
                <w:lang w:val="en-US" w:eastAsia="zh-CN" w:bidi="ar"/>
              </w:rPr>
              <w:t>课程（英文）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pPr>
            <w:r>
              <w:rPr>
                <w:rFonts w:hint="default" w:ascii="’’’Times New Roman’’’" w:hAnsi="’’’Times New Roman’’’" w:eastAsia="’’’Times New Roman’’’" w:cs="’’’Times New Roman’’’"/>
                <w:kern w:val="0"/>
                <w:sz w:val="18"/>
                <w:szCs w:val="18"/>
                <w:bdr w:val="none" w:color="auto" w:sz="0" w:space="0"/>
                <w:lang w:val="en-US" w:eastAsia="zh-CN" w:bidi="ar"/>
              </w:rPr>
              <w:t>-</w:t>
            </w:r>
            <w:r>
              <w:rPr>
                <w:rFonts w:hint="eastAsia" w:ascii="宋体" w:hAnsi="宋体" w:eastAsia="宋体" w:cs="宋体"/>
                <w:kern w:val="0"/>
                <w:sz w:val="18"/>
                <w:szCs w:val="18"/>
                <w:bdr w:val="none" w:color="auto" w:sz="0" w:space="0"/>
                <w:lang w:val="en-US" w:eastAsia="zh-CN" w:bidi="ar"/>
              </w:rPr>
              <w:t>在职不脱产，利用业余时间学习</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c>
          <w:tcPr>
            <w:tcW w:w="10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3"/>
                <w:rFonts w:hint="eastAsia" w:ascii="宋体" w:hAnsi="宋体" w:eastAsia="宋体" w:cs="宋体"/>
                <w:kern w:val="0"/>
                <w:sz w:val="24"/>
                <w:szCs w:val="24"/>
                <w:bdr w:val="none" w:color="auto" w:sz="0" w:space="0"/>
                <w:lang w:val="en-US" w:eastAsia="zh-CN" w:bidi="ar"/>
              </w:rPr>
              <w:t>证书</w:t>
            </w:r>
          </w:p>
        </w:tc>
        <w:tc>
          <w:tcPr>
            <w:tcW w:w="7463" w:type="dxa"/>
            <w:gridSpan w:val="4"/>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国家教育部认可的对外经济贸易大学研究生学历证书、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Fonts w:hint="eastAsia" w:ascii="宋体" w:hAnsi="宋体" w:eastAsia="宋体" w:cs="宋体"/>
                <w:kern w:val="0"/>
                <w:sz w:val="18"/>
                <w:szCs w:val="18"/>
                <w:bdr w:val="none" w:color="auto" w:sz="0" w:space="0"/>
                <w:lang w:val="en-US" w:eastAsia="zh-CN" w:bidi="ar"/>
              </w:rPr>
              <w:t>对外经济贸易大学工商管理硕士学位证书</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四、报考条件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拥护中国共产党的领导，品德良好，遵纪守法；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考生的学历必须符合下列条件之一：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大学本科毕业后有3年以上工作经验的人员；或获得国家承认的高职高专毕业学历或大学本科结业后，达到大学本科毕业同等学力并有5年以上工作经验的人员；或获得硕士学位或博士学位后有2年以上工作经验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身体健康状况符合规定的体检标准。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对于党校学历的考生，具有中央党校成人教育学院本科学历的可以报考，其余的党校学历不能报考。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在境外获得学历（学位）的考生，其学历（学位）证书须通过教育部留学服务中心的认证。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五、报名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参看“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"http://yjsy.uibe.edu.cn/infoSingleArticle.do?articleId=4699"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考生应选择工作或户口所在地省级教育招生考试管理机构指定的报考点办理网上报名和现场确认手续。不再必须选择对外经济贸易大学为报考点报名并参加考试。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报考资格审查将在复试阶段进行。考生的报名信息务必准确、翔实，凡不符合报考条件的考生或提供虚假信息的考生，将被取消考试成绩或录取资格，后果由考生本人自负。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60"/>
        <w:jc w:val="left"/>
        <w:rPr>
          <w:rFonts w:hint="default" w:ascii="MicrosoftYaHei" w:hAnsi="MicrosoftYaHei" w:eastAsia="MicrosoftYaHei" w:cs="MicrosoftYaHei"/>
          <w:b w:val="0"/>
          <w:i w:val="0"/>
          <w:caps w:val="0"/>
          <w:color w:val="000000"/>
          <w:spacing w:val="0"/>
          <w:sz w:val="18"/>
          <w:szCs w:val="18"/>
        </w:rPr>
      </w:pPr>
      <w:r>
        <w:rPr>
          <w:rFonts w:hint="eastAsia"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六、考试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MBA联考的初试科目：①199-管理类联考综合能力②204-英语二。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参考书目：《全国工商管理硕士（MBA）联考大纲及辅导教材》，机械工业出版社出版。有关参考书如购买不便，可与我校出版社读者服务部联系，电话：010-64492338。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初试时间：2018年12月22日，具体以准考证通知为准。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已参与提前批次招生并取得“提前批次面试通过”资格的考生无需再次进行复试面试，成绩达到国家分数线且通过政治笔试、报考资格审核后即可获得拟录取资格；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未参与提前批次招生的考生（即正常批次考生）复试时间、复试名单及具体复试要求以我校研究生院主页上公布的信息为准，请考生自行查询并下载相关材料。我校将根据教育部有关考生进入复试的基本要求，结合本年度招生计划和生源质量情况，确定本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实行差额复试。具体复试方式以及初试、复试成绩所占权重由学院根据本学科专业特点及生源状况确定。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非全日制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60"/>
        <w:jc w:val="left"/>
        <w:rPr>
          <w:rFonts w:hint="default" w:ascii="MicrosoftYaHei" w:hAnsi="MicrosoftYaHei" w:eastAsia="MicrosoftYaHei" w:cs="MicrosoftYaHei"/>
          <w:b w:val="0"/>
          <w:i w:val="0"/>
          <w:caps w:val="0"/>
          <w:color w:val="000000"/>
          <w:spacing w:val="0"/>
          <w:sz w:val="18"/>
          <w:szCs w:val="18"/>
        </w:rPr>
      </w:pPr>
      <w:r>
        <w:rPr>
          <w:rFonts w:hint="eastAsia"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七、体检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体检复试期间统一进行，新生入学时复检，具体时间另行通知。体检医院为我校校医院。体检标准参照教育部、卫生部的相关规定。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60"/>
        <w:jc w:val="left"/>
        <w:rPr>
          <w:rFonts w:hint="default" w:ascii="MicrosoftYaHei" w:hAnsi="MicrosoftYaHei" w:eastAsia="MicrosoftYaHei" w:cs="MicrosoftYaHei"/>
          <w:b w:val="0"/>
          <w:i w:val="0"/>
          <w:caps w:val="0"/>
          <w:color w:val="000000"/>
          <w:spacing w:val="0"/>
          <w:sz w:val="18"/>
          <w:szCs w:val="18"/>
        </w:rPr>
      </w:pPr>
      <w:r>
        <w:rPr>
          <w:rFonts w:hint="eastAsia"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八、录取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非全日制考生可选择定向和非定向就业，不安排宿舍。其中非全日制非定向就业考生可自愿选择是否调转档案、户口（以学校发布的具体通知为准）。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学费：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（1）2019年国际MBA项目（全日制）学费拟定为14.8万元（两年共计）；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479"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（2）2019年国际MBA项目（在职英文）学费拟定为23.6万元（两年共计）；（3）2019年在职MBA项目（在职中文）学费拟定为22.8万元（两年共计）；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（4）2019年EMBA项目（在职中文）学费拟定为36万元（两年共计）。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以上四个子项目的学费可一次性缴清，也可按年度缴纳。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60"/>
        <w:jc w:val="left"/>
        <w:rPr>
          <w:rFonts w:hint="default" w:ascii="MicrosoftYaHei" w:hAnsi="MicrosoftYaHei" w:eastAsia="MicrosoftYaHei" w:cs="MicrosoftYaHei"/>
          <w:b w:val="0"/>
          <w:i w:val="0"/>
          <w:caps w:val="0"/>
          <w:color w:val="000000"/>
          <w:spacing w:val="0"/>
          <w:sz w:val="18"/>
          <w:szCs w:val="18"/>
        </w:rPr>
      </w:pPr>
      <w:r>
        <w:rPr>
          <w:rFonts w:hint="eastAsia"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九、其他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1.达到国家复试最低控制线，而由于名额所限未能被我校录取的考生需自行联系调剂单位。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3.本招生简章如与“对外经济贸易大学2019年招收攻读硕士学位研究生章程”有冲突，以“对外经济贸易大学2019年招收攻读硕士学位研究生章程”为准。本招生简章的解释权在我校研究生院。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60"/>
        <w:jc w:val="left"/>
        <w:rPr>
          <w:rFonts w:hint="default" w:ascii="MicrosoftYaHei" w:hAnsi="MicrosoftYaHei" w:eastAsia="MicrosoftYaHei" w:cs="MicrosoftYaHei"/>
          <w:b w:val="0"/>
          <w:i w:val="0"/>
          <w:caps w:val="0"/>
          <w:color w:val="000000"/>
          <w:spacing w:val="0"/>
          <w:sz w:val="18"/>
          <w:szCs w:val="18"/>
        </w:rPr>
      </w:pPr>
      <w:r>
        <w:rPr>
          <w:rFonts w:hint="eastAsia" w:ascii="微软雅黑" w:hAnsi="微软雅黑" w:eastAsia="微软雅黑" w:cs="微软雅黑"/>
          <w:b w:val="0"/>
          <w:i w:val="0"/>
          <w:caps w:val="0"/>
          <w:color w:val="000000"/>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r>
        <w:rPr>
          <w:rFonts w:hint="eastAsia" w:ascii="黑体" w:hAnsi="宋体" w:eastAsia="黑体" w:cs="黑体"/>
          <w:b w:val="0"/>
          <w:i w:val="0"/>
          <w:caps w:val="0"/>
          <w:color w:val="000000"/>
          <w:spacing w:val="0"/>
          <w:kern w:val="0"/>
          <w:sz w:val="28"/>
          <w:szCs w:val="28"/>
          <w:bdr w:val="none" w:color="auto" w:sz="0" w:space="0"/>
          <w:shd w:val="clear" w:fill="FFFFFF"/>
          <w:lang w:val="en-US" w:eastAsia="zh-CN" w:bidi="ar"/>
        </w:rPr>
        <w:t>十、招生咨询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"mailto:%E7%94%B5%E5%AD%90%E9%82%AE%E4%BB%B6%EF%BC%9Ayzbtao@sina.com"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ascii="Calibri" w:hAnsi="Calibri" w:eastAsia="MicrosoftYaHei" w:cs="Calibri"/>
          <w:b w:val="0"/>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国际MBA项目（全日制）、国际MBA项目（在职英文）和在职MBA项目（在职中文）提前批次招生政策、子项目介绍、分类及问题咨询可登陆国际商学院MBA中心主页（</w:t>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http://mba.</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"http://mba.uibe.edu.cn/"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single"/>
          <w:bdr w:val="none" w:color="auto" w:sz="0" w:space="0"/>
          <w:shd w:val="clear" w:fill="FFFFFF"/>
          <w:lang w:val="en-US"/>
        </w:rPr>
        <w:t>uibe</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u w:val="single"/>
          <w:bdr w:val="none" w:color="auto" w:sz="0" w:space="0"/>
          <w:shd w:val="clear" w:fill="FFFFFF"/>
          <w:lang w:val="en-US" w:eastAsia="zh-CN" w:bidi="ar"/>
        </w:rPr>
        <w:t>.edu.cn</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）及MBA考生服务系统查询。招生信息如有变化，以我校研究生院及MBA中心网站后续公布的信息和实时更新的通知为准。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咨询电话：010-64494150/2264/4376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"mailto:%E7%94%B5%E5%AD%90%E9%82%AE%E4%BB%B6%EF%BC%9Ayzbtao@sina.com"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"mailto:mba@uibe.edu.cn"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mba@uibe.edu.cn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通讯地址：北京市朝阳区惠新东街10号对外经济贸易大学宁远楼812、816室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EMBA项目（在职中文）提前批次招生政策及问题咨询可登陆国际商学院EMBA中心主页（http://emba.</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"http://mba.uibe.edu.cn/"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uibe</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.edu.cn，项目网址根据学校信息处要求可能会变更）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咨询电话：010-64492021/3586；010-64492021(fax)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"mailto:%E7%94%B5%E5%AD%90%E9%82%AE%E4%BB%B6%EF%BC%9Ayzbtao@sina.com"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default" w:ascii="Calibri" w:hAnsi="Calibri" w:eastAsia="MicrosoftYaHei" w:cs="Calibri"/>
          <w:b w:val="0"/>
          <w:i w:val="0"/>
          <w:caps w:val="0"/>
          <w:color w:val="000000"/>
          <w:spacing w:val="0"/>
          <w:kern w:val="0"/>
          <w:sz w:val="24"/>
          <w:szCs w:val="24"/>
          <w:bdr w:val="none" w:color="auto" w:sz="0" w:space="0"/>
          <w:shd w:val="clear" w:fill="FFFFFF"/>
          <w:lang w:val="en-US" w:eastAsia="zh-CN" w:bidi="ar"/>
        </w:rPr>
        <w:t>e</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"mailto:mba@uibe.edu.cn"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mba@uibe.edu.cn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通讯地址：北京市朝阳区惠新东街10号对外经济贸易大学宁远楼808-812室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imes New Roman’’’">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65062C"/>
    <w:rsid w:val="1B65062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2018-09-18T09:56:00Z</dcterms:created>
  <dc:creator>Zlh</dc:creator>
  <cp:lastModifiedBy>Zlh</cp:lastModifiedBy>
  <dcterms:modified xsi:type="dcterms:W3CDTF">2018-09-18T09:57:31Z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