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  <w:lang w:eastAsia="zh-CN"/>
        </w:rPr>
        <w:t>生物与医药专硕</w:t>
      </w:r>
      <w:r>
        <w:rPr>
          <w:rFonts w:hint="eastAsia"/>
          <w:b/>
          <w:sz w:val="36"/>
          <w:szCs w:val="36"/>
        </w:rPr>
        <w:t>研究生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志愿填报说明</w:t>
      </w:r>
    </w:p>
    <w:p>
      <w:pPr>
        <w:spacing w:line="360" w:lineRule="auto"/>
        <w:ind w:firstLine="643" w:firstLineChars="200"/>
        <w:rPr>
          <w:rFonts w:hint="eastAsia"/>
          <w:b/>
          <w:sz w:val="32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2020年</w:t>
      </w:r>
      <w:r>
        <w:rPr>
          <w:rFonts w:hint="eastAsia"/>
          <w:b/>
          <w:sz w:val="24"/>
          <w:lang w:eastAsia="zh-CN"/>
        </w:rPr>
        <w:t>药学专硕</w:t>
      </w:r>
      <w:r>
        <w:rPr>
          <w:rFonts w:hint="eastAsia"/>
          <w:b/>
          <w:sz w:val="24"/>
        </w:rPr>
        <w:t>研究生录取的考生，均同等授予浙江工业大学学位，但有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个参与培养单位与方式，具体志愿填报说明如下：</w:t>
      </w:r>
    </w:p>
    <w:p>
      <w:pPr>
        <w:spacing w:line="360" w:lineRule="auto"/>
        <w:ind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sz w:val="24"/>
        </w:rPr>
        <w:t>1. 浙江工业大学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院（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）：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color w:val="auto"/>
          <w:sz w:val="24"/>
        </w:rPr>
        <w:t>人；</w:t>
      </w:r>
    </w:p>
    <w:p>
      <w:pPr>
        <w:spacing w:line="360" w:lineRule="auto"/>
        <w:ind w:left="105" w:leftChars="50" w:firstLine="361" w:firstLineChars="150"/>
        <w:rPr>
          <w:rFonts w:hint="eastAsia" w:eastAsia="宋体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2、浙江省嘉兴学院（嘉兴学院）：</w:t>
      </w:r>
      <w:r>
        <w:rPr>
          <w:rFonts w:hint="eastAsia"/>
          <w:b/>
          <w:color w:val="auto"/>
          <w:sz w:val="24"/>
        </w:rPr>
        <w:t>浙江工业大学和</w:t>
      </w:r>
      <w:r>
        <w:rPr>
          <w:rFonts w:hint="eastAsia"/>
          <w:b/>
          <w:color w:val="auto"/>
          <w:sz w:val="24"/>
          <w:lang w:eastAsia="zh-CN"/>
        </w:rPr>
        <w:t>浙江省嘉兴学院</w:t>
      </w:r>
      <w:r>
        <w:rPr>
          <w:rFonts w:hint="eastAsia"/>
          <w:b/>
          <w:color w:val="auto"/>
          <w:sz w:val="24"/>
        </w:rPr>
        <w:t>联合培养，招生指标</w:t>
      </w:r>
      <w:r>
        <w:rPr>
          <w:rFonts w:hint="eastAsia"/>
          <w:b/>
          <w:color w:val="auto"/>
          <w:sz w:val="24"/>
          <w:lang w:val="en-US" w:eastAsia="zh-CN"/>
        </w:rPr>
        <w:t>6</w:t>
      </w:r>
      <w:r>
        <w:rPr>
          <w:rFonts w:hint="eastAsia"/>
          <w:b/>
          <w:color w:val="auto"/>
          <w:sz w:val="24"/>
        </w:rPr>
        <w:t>人</w:t>
      </w:r>
      <w:r>
        <w:rPr>
          <w:rFonts w:hint="eastAsia"/>
          <w:b/>
          <w:color w:val="auto"/>
          <w:sz w:val="24"/>
          <w:lang w:eastAsia="zh-CN"/>
        </w:rPr>
        <w:t>；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复试合格，按综合总成绩从高到低排序；如果出现某种类型的考生志愿不足、未录取满的情况，则从复试合格的考生中按综合总成绩从高到低征求志愿。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4.每个考生可以填报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个志愿（</w:t>
      </w:r>
      <w:r>
        <w:rPr>
          <w:rFonts w:hint="eastAsia"/>
          <w:b/>
          <w:sz w:val="24"/>
          <w:lang w:eastAsia="zh-CN"/>
        </w:rPr>
        <w:t>药学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嘉兴学院</w:t>
      </w:r>
      <w:r>
        <w:rPr>
          <w:rFonts w:hint="eastAsia"/>
          <w:b/>
          <w:sz w:val="24"/>
        </w:rPr>
        <w:t>），至少填报一个志愿。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本人在了解上述情况后，志愿填报如下：</w:t>
      </w:r>
    </w:p>
    <w:p>
      <w:pPr>
        <w:spacing w:line="360" w:lineRule="auto"/>
        <w:ind w:left="105" w:leftChars="50" w:firstLine="361" w:firstLineChars="150"/>
        <w:rPr>
          <w:rFonts w:hint="eastAsia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第二志愿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</w:rPr>
      </w:pP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考生签名：</w:t>
      </w:r>
    </w:p>
    <w:p>
      <w:pPr>
        <w:spacing w:line="36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2020年5月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0209"/>
    <w:rsid w:val="75F7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2020-05-11T09:37:00Z</dcterms:created>
  <dc:creator>yuyu</dc:creator>
  <cp:lastModifiedBy>yuyu</cp:lastModifiedBy>
  <dcterms:modified xsi:type="dcterms:W3CDTF">2020-05-11T09:37:34Z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