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中山大学</w:t>
      </w:r>
      <w:r>
        <w:rPr>
          <w:rFonts w:hint="eastAsia" w:ascii="方正小标宋简体" w:hAnsi="方正小标宋简体" w:eastAsia="方正小标宋简体" w:cs="方正小标宋简体"/>
          <w:sz w:val="44"/>
          <w:szCs w:val="44"/>
          <w:u w:val="none"/>
        </w:rPr>
        <w:t>生态学院</w:t>
      </w:r>
      <w:r>
        <w:rPr>
          <w:rFonts w:hint="eastAsia" w:ascii="方正小标宋简体" w:hAnsi="方正小标宋简体" w:eastAsia="方正小标宋简体" w:cs="方正小标宋简体"/>
          <w:sz w:val="44"/>
          <w:szCs w:val="44"/>
        </w:rPr>
        <w:t>20</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年硕士研究生</w:t>
      </w:r>
    </w:p>
    <w:p>
      <w:pPr>
        <w:spacing w:line="540" w:lineRule="exact"/>
        <w:jc w:val="center"/>
        <w:rPr>
          <w:rFonts w:ascii="仿宋" w:hAnsi="仿宋" w:eastAsia="仿宋" w:cs="仿宋"/>
          <w:b/>
          <w:bCs/>
          <w:sz w:val="32"/>
          <w:szCs w:val="32"/>
        </w:rPr>
      </w:pPr>
      <w:r>
        <w:rPr>
          <w:rFonts w:hint="eastAsia" w:ascii="方正小标宋简体" w:hAnsi="方正小标宋简体" w:eastAsia="方正小标宋简体" w:cs="方正小标宋简体"/>
          <w:sz w:val="44"/>
          <w:szCs w:val="44"/>
        </w:rPr>
        <w:t>复试录取方案</w:t>
      </w: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根据教育部《2020年全国硕士研究生招生工作管理规定》（教学函〔2019〕6号）、《教育部办公厅关于做好2020年全国硕士研究生复试工作的通知》（教学厅〔2020〕4号）、《中山大学关于做好2020年硕士研究生复试录取工作的通知》等相关文件精神，结合疫情防控要求及我院各学科专业（方向）考生实际情况，制定本方案。 </w:t>
      </w:r>
      <w:r>
        <w:rPr>
          <w:rFonts w:ascii="仿宋" w:hAnsi="仿宋" w:eastAsia="仿宋" w:cs="仿宋"/>
          <w:sz w:val="32"/>
          <w:szCs w:val="32"/>
        </w:rPr>
        <w:t xml:space="preserve">   </w:t>
      </w:r>
    </w:p>
    <w:p>
      <w:pPr>
        <w:spacing w:line="540" w:lineRule="exact"/>
        <w:ind w:firstLine="643" w:firstLineChars="200"/>
        <w:rPr>
          <w:rFonts w:ascii="仿宋" w:hAnsi="仿宋" w:eastAsia="仿宋" w:cs="仿宋"/>
          <w:b/>
          <w:sz w:val="32"/>
          <w:szCs w:val="32"/>
        </w:rPr>
      </w:pPr>
    </w:p>
    <w:p>
      <w:pPr>
        <w:spacing w:line="540" w:lineRule="exact"/>
        <w:ind w:firstLine="643" w:firstLineChars="200"/>
        <w:rPr>
          <w:rFonts w:ascii="仿宋" w:hAnsi="仿宋" w:eastAsia="仿宋" w:cs="仿宋"/>
          <w:color w:val="FF0000"/>
          <w:sz w:val="32"/>
          <w:szCs w:val="32"/>
        </w:rPr>
      </w:pPr>
      <w:r>
        <w:rPr>
          <w:rFonts w:hint="eastAsia" w:ascii="仿宋" w:hAnsi="仿宋" w:eastAsia="仿宋" w:cs="仿宋"/>
          <w:b/>
          <w:sz w:val="32"/>
          <w:szCs w:val="32"/>
        </w:rPr>
        <w:t>一、复试分数线和</w:t>
      </w:r>
      <w:r>
        <w:rPr>
          <w:rFonts w:ascii="仿宋" w:hAnsi="仿宋" w:eastAsia="仿宋" w:cs="仿宋"/>
          <w:b/>
          <w:sz w:val="32"/>
          <w:szCs w:val="32"/>
        </w:rPr>
        <w:t>复试</w:t>
      </w:r>
      <w:r>
        <w:rPr>
          <w:rFonts w:hint="eastAsia" w:ascii="仿宋" w:hAnsi="仿宋" w:eastAsia="仿宋" w:cs="仿宋"/>
          <w:b/>
          <w:sz w:val="32"/>
          <w:szCs w:val="32"/>
        </w:rPr>
        <w:t>名单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1.我院复试分数线如下：</w:t>
      </w:r>
    </w:p>
    <w:tbl>
      <w:tblPr>
        <w:tblStyle w:val="8"/>
        <w:tblW w:w="6867" w:type="dxa"/>
        <w:jc w:val="center"/>
        <w:tblLayout w:type="fixed"/>
        <w:tblCellMar>
          <w:top w:w="0" w:type="dxa"/>
          <w:left w:w="108" w:type="dxa"/>
          <w:bottom w:w="0" w:type="dxa"/>
          <w:right w:w="108" w:type="dxa"/>
        </w:tblCellMar>
      </w:tblPr>
      <w:tblGrid>
        <w:gridCol w:w="1408"/>
        <w:gridCol w:w="992"/>
        <w:gridCol w:w="1120"/>
        <w:gridCol w:w="1125"/>
        <w:gridCol w:w="722"/>
        <w:gridCol w:w="709"/>
        <w:gridCol w:w="791"/>
      </w:tblGrid>
      <w:tr>
        <w:tblPrEx>
          <w:tblCellMar>
            <w:top w:w="0" w:type="dxa"/>
            <w:left w:w="108" w:type="dxa"/>
            <w:bottom w:w="0" w:type="dxa"/>
            <w:right w:w="108" w:type="dxa"/>
          </w:tblCellMar>
        </w:tblPrEx>
        <w:trPr>
          <w:trHeight w:val="534" w:hRule="atLeast"/>
          <w:jc w:val="center"/>
        </w:trPr>
        <w:tc>
          <w:tcPr>
            <w:tcW w:w="140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专业代码</w:t>
            </w:r>
          </w:p>
        </w:tc>
        <w:tc>
          <w:tcPr>
            <w:tcW w:w="992" w:type="dxa"/>
            <w:vMerge w:val="restart"/>
            <w:tcBorders>
              <w:top w:val="single" w:color="auto" w:sz="8" w:space="0"/>
              <w:left w:val="single" w:color="auto" w:sz="8" w:space="0"/>
              <w:right w:val="single" w:color="auto" w:sz="8" w:space="0"/>
            </w:tcBorders>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专业名称</w:t>
            </w:r>
          </w:p>
        </w:tc>
        <w:tc>
          <w:tcPr>
            <w:tcW w:w="1120" w:type="dxa"/>
            <w:vMerge w:val="restart"/>
            <w:tcBorders>
              <w:top w:val="single" w:color="auto" w:sz="8" w:space="0"/>
              <w:left w:val="single" w:color="auto" w:sz="8" w:space="0"/>
              <w:right w:val="single" w:color="auto" w:sz="8" w:space="0"/>
            </w:tcBorders>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方向代码</w:t>
            </w:r>
          </w:p>
        </w:tc>
        <w:tc>
          <w:tcPr>
            <w:tcW w:w="112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方向名称</w:t>
            </w:r>
          </w:p>
        </w:tc>
        <w:tc>
          <w:tcPr>
            <w:tcW w:w="2222" w:type="dxa"/>
            <w:gridSpan w:val="3"/>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复试分数线</w:t>
            </w:r>
          </w:p>
        </w:tc>
      </w:tr>
      <w:tr>
        <w:tblPrEx>
          <w:tblCellMar>
            <w:top w:w="0" w:type="dxa"/>
            <w:left w:w="108" w:type="dxa"/>
            <w:bottom w:w="0" w:type="dxa"/>
            <w:right w:w="108" w:type="dxa"/>
          </w:tblCellMar>
        </w:tblPrEx>
        <w:trPr>
          <w:trHeight w:val="375" w:hRule="atLeast"/>
          <w:jc w:val="center"/>
        </w:trPr>
        <w:tc>
          <w:tcPr>
            <w:tcW w:w="14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等线" w:eastAsia="仿宋_GB2312" w:cs="宋体"/>
                <w:b/>
                <w:bCs/>
                <w:color w:val="000000"/>
                <w:kern w:val="0"/>
                <w:sz w:val="18"/>
                <w:szCs w:val="18"/>
              </w:rPr>
            </w:pPr>
          </w:p>
        </w:tc>
        <w:tc>
          <w:tcPr>
            <w:tcW w:w="992" w:type="dxa"/>
            <w:vMerge w:val="continue"/>
            <w:tcBorders>
              <w:left w:val="single" w:color="auto" w:sz="8" w:space="0"/>
              <w:bottom w:val="single" w:color="auto" w:sz="8" w:space="0"/>
              <w:right w:val="single" w:color="auto" w:sz="8" w:space="0"/>
            </w:tcBorders>
            <w:vAlign w:val="center"/>
          </w:tcPr>
          <w:p>
            <w:pPr>
              <w:widowControl/>
              <w:jc w:val="left"/>
              <w:rPr>
                <w:rFonts w:ascii="仿宋_GB2312" w:hAnsi="等线" w:eastAsia="仿宋_GB2312" w:cs="宋体"/>
                <w:b/>
                <w:bCs/>
                <w:color w:val="000000"/>
                <w:kern w:val="0"/>
                <w:sz w:val="18"/>
                <w:szCs w:val="18"/>
              </w:rPr>
            </w:pPr>
          </w:p>
        </w:tc>
        <w:tc>
          <w:tcPr>
            <w:tcW w:w="1120" w:type="dxa"/>
            <w:vMerge w:val="continue"/>
            <w:tcBorders>
              <w:left w:val="single" w:color="auto" w:sz="8" w:space="0"/>
              <w:bottom w:val="single" w:color="auto" w:sz="8" w:space="0"/>
              <w:right w:val="single" w:color="auto" w:sz="8" w:space="0"/>
            </w:tcBorders>
            <w:vAlign w:val="center"/>
          </w:tcPr>
          <w:p>
            <w:pPr>
              <w:widowControl/>
              <w:jc w:val="left"/>
              <w:rPr>
                <w:rFonts w:ascii="仿宋_GB2312" w:hAnsi="等线" w:eastAsia="仿宋_GB2312" w:cs="宋体"/>
                <w:b/>
                <w:bCs/>
                <w:color w:val="000000"/>
                <w:kern w:val="0"/>
                <w:sz w:val="18"/>
                <w:szCs w:val="18"/>
              </w:rPr>
            </w:pPr>
          </w:p>
        </w:tc>
        <w:tc>
          <w:tcPr>
            <w:tcW w:w="112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等线" w:eastAsia="仿宋_GB2312" w:cs="宋体"/>
                <w:b/>
                <w:bCs/>
                <w:color w:val="000000"/>
                <w:kern w:val="0"/>
                <w:sz w:val="18"/>
                <w:szCs w:val="18"/>
              </w:rPr>
            </w:pPr>
          </w:p>
        </w:tc>
        <w:tc>
          <w:tcPr>
            <w:tcW w:w="72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总分</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政治/外语</w:t>
            </w:r>
          </w:p>
        </w:tc>
        <w:tc>
          <w:tcPr>
            <w:tcW w:w="79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业务课</w:t>
            </w:r>
          </w:p>
        </w:tc>
      </w:tr>
      <w:tr>
        <w:tblPrEx>
          <w:tblCellMar>
            <w:top w:w="0" w:type="dxa"/>
            <w:left w:w="108" w:type="dxa"/>
            <w:bottom w:w="0" w:type="dxa"/>
            <w:right w:w="108" w:type="dxa"/>
          </w:tblCellMar>
        </w:tblPrEx>
        <w:trPr>
          <w:trHeight w:val="300" w:hRule="atLeast"/>
          <w:jc w:val="center"/>
        </w:trPr>
        <w:tc>
          <w:tcPr>
            <w:tcW w:w="1408"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071300</w:t>
            </w:r>
          </w:p>
        </w:tc>
        <w:tc>
          <w:tcPr>
            <w:tcW w:w="99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生态学</w:t>
            </w:r>
          </w:p>
        </w:tc>
        <w:tc>
          <w:tcPr>
            <w:tcW w:w="112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69</w:t>
            </w:r>
          </w:p>
        </w:tc>
        <w:tc>
          <w:tcPr>
            <w:tcW w:w="112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不分方向</w:t>
            </w:r>
          </w:p>
        </w:tc>
        <w:tc>
          <w:tcPr>
            <w:tcW w:w="722"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300</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50</w:t>
            </w:r>
          </w:p>
        </w:tc>
        <w:tc>
          <w:tcPr>
            <w:tcW w:w="791" w:type="dxa"/>
            <w:tcBorders>
              <w:top w:val="nil"/>
              <w:left w:val="nil"/>
              <w:bottom w:val="single" w:color="auto" w:sz="8" w:space="0"/>
              <w:right w:val="single" w:color="auto" w:sz="8"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70</w:t>
            </w:r>
          </w:p>
        </w:tc>
      </w:tr>
    </w:tbl>
    <w:p>
      <w:pPr>
        <w:spacing w:line="54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.初试成绩符合我院复试分数线要求者，按专业总分从高到低的顺序确定参加复试的考生名单。</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.考生可以通过学院官网查询复试名单（见附件1）。</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.拟招生人数如下，将根据情况调整，最终以实际录取人数为准：</w:t>
      </w:r>
    </w:p>
    <w:tbl>
      <w:tblPr>
        <w:tblStyle w:val="8"/>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1134"/>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专业（方向）代码</w:t>
            </w:r>
          </w:p>
        </w:tc>
        <w:tc>
          <w:tcPr>
            <w:tcW w:w="1843"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专业（方向）名称</w:t>
            </w:r>
          </w:p>
        </w:tc>
        <w:tc>
          <w:tcPr>
            <w:tcW w:w="1134"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总计划</w:t>
            </w:r>
          </w:p>
        </w:tc>
        <w:tc>
          <w:tcPr>
            <w:tcW w:w="1134"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已招推免生</w:t>
            </w:r>
          </w:p>
        </w:tc>
        <w:tc>
          <w:tcPr>
            <w:tcW w:w="1559" w:type="dxa"/>
            <w:shd w:val="clear" w:color="auto" w:fill="auto"/>
            <w:vAlign w:val="center"/>
          </w:tcPr>
          <w:p>
            <w:pPr>
              <w:widowControl/>
              <w:jc w:val="center"/>
              <w:rPr>
                <w:rFonts w:ascii="仿宋_GB2312" w:hAnsi="等线" w:eastAsia="仿宋_GB2312" w:cs="宋体"/>
                <w:b/>
                <w:bCs/>
                <w:color w:val="000000"/>
                <w:kern w:val="0"/>
                <w:sz w:val="18"/>
                <w:szCs w:val="18"/>
              </w:rPr>
            </w:pPr>
            <w:r>
              <w:rPr>
                <w:rFonts w:hint="eastAsia" w:ascii="仿宋_GB2312" w:hAnsi="等线" w:eastAsia="仿宋_GB2312" w:cs="宋体"/>
                <w:b/>
                <w:bCs/>
                <w:color w:val="000000"/>
                <w:kern w:val="0"/>
                <w:sz w:val="18"/>
                <w:szCs w:val="18"/>
              </w:rPr>
              <w:t>公开招考计划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pacing w:line="540" w:lineRule="exact"/>
              <w:jc w:val="center"/>
              <w:rPr>
                <w:rFonts w:ascii="仿宋" w:hAnsi="仿宋" w:eastAsia="仿宋" w:cs="仿宋"/>
                <w:b/>
                <w:sz w:val="24"/>
                <w:szCs w:val="24"/>
              </w:rPr>
            </w:pPr>
            <w:r>
              <w:rPr>
                <w:rFonts w:ascii="仿宋" w:hAnsi="仿宋" w:eastAsia="仿宋" w:cs="仿宋"/>
                <w:b/>
                <w:sz w:val="24"/>
                <w:szCs w:val="24"/>
              </w:rPr>
              <w:t>0713</w:t>
            </w:r>
            <w:r>
              <w:rPr>
                <w:rFonts w:hint="eastAsia" w:ascii="仿宋" w:hAnsi="仿宋" w:eastAsia="仿宋" w:cs="仿宋"/>
                <w:b/>
                <w:sz w:val="24"/>
              </w:rPr>
              <w:t>69</w:t>
            </w:r>
          </w:p>
        </w:tc>
        <w:tc>
          <w:tcPr>
            <w:tcW w:w="1843" w:type="dxa"/>
            <w:shd w:val="clear" w:color="auto" w:fill="auto"/>
          </w:tcPr>
          <w:p>
            <w:pPr>
              <w:spacing w:line="540" w:lineRule="exact"/>
              <w:jc w:val="center"/>
              <w:rPr>
                <w:rFonts w:ascii="仿宋" w:hAnsi="仿宋" w:eastAsia="仿宋" w:cs="仿宋"/>
                <w:b/>
                <w:sz w:val="24"/>
                <w:szCs w:val="24"/>
              </w:rPr>
            </w:pPr>
            <w:r>
              <w:rPr>
                <w:rFonts w:hint="eastAsia" w:ascii="仿宋" w:hAnsi="仿宋" w:eastAsia="仿宋" w:cs="仿宋"/>
                <w:b/>
                <w:sz w:val="24"/>
                <w:szCs w:val="24"/>
              </w:rPr>
              <w:t>生态学</w:t>
            </w:r>
          </w:p>
        </w:tc>
        <w:tc>
          <w:tcPr>
            <w:tcW w:w="1134" w:type="dxa"/>
            <w:shd w:val="clear" w:color="auto" w:fill="auto"/>
          </w:tcPr>
          <w:p>
            <w:pPr>
              <w:spacing w:line="540" w:lineRule="exact"/>
              <w:jc w:val="center"/>
              <w:rPr>
                <w:rFonts w:ascii="仿宋" w:hAnsi="仿宋" w:eastAsia="仿宋" w:cs="仿宋"/>
                <w:b/>
                <w:sz w:val="24"/>
                <w:szCs w:val="24"/>
              </w:rPr>
            </w:pPr>
            <w:r>
              <w:rPr>
                <w:rFonts w:ascii="仿宋" w:hAnsi="仿宋" w:eastAsia="仿宋" w:cs="仿宋"/>
                <w:b/>
                <w:sz w:val="24"/>
                <w:szCs w:val="24"/>
              </w:rPr>
              <w:t>20</w:t>
            </w:r>
          </w:p>
        </w:tc>
        <w:tc>
          <w:tcPr>
            <w:tcW w:w="1134" w:type="dxa"/>
            <w:shd w:val="clear" w:color="auto" w:fill="auto"/>
          </w:tcPr>
          <w:p>
            <w:pPr>
              <w:spacing w:line="540" w:lineRule="exact"/>
              <w:jc w:val="center"/>
              <w:rPr>
                <w:rFonts w:ascii="仿宋" w:hAnsi="仿宋" w:eastAsia="仿宋" w:cs="仿宋"/>
                <w:b/>
                <w:sz w:val="24"/>
                <w:szCs w:val="24"/>
              </w:rPr>
            </w:pPr>
            <w:r>
              <w:rPr>
                <w:rFonts w:ascii="仿宋" w:hAnsi="仿宋" w:eastAsia="仿宋" w:cs="仿宋"/>
                <w:b/>
                <w:sz w:val="24"/>
                <w:szCs w:val="24"/>
              </w:rPr>
              <w:t>2</w:t>
            </w:r>
          </w:p>
        </w:tc>
        <w:tc>
          <w:tcPr>
            <w:tcW w:w="1559" w:type="dxa"/>
            <w:shd w:val="clear" w:color="auto" w:fill="auto"/>
          </w:tcPr>
          <w:p>
            <w:pPr>
              <w:spacing w:line="540" w:lineRule="exact"/>
              <w:jc w:val="center"/>
              <w:rPr>
                <w:rFonts w:ascii="仿宋" w:hAnsi="仿宋" w:eastAsia="仿宋" w:cs="仿宋"/>
                <w:b/>
                <w:sz w:val="24"/>
                <w:szCs w:val="24"/>
              </w:rPr>
            </w:pPr>
            <w:r>
              <w:rPr>
                <w:rFonts w:ascii="仿宋" w:hAnsi="仿宋" w:eastAsia="仿宋" w:cs="仿宋"/>
                <w:b/>
                <w:sz w:val="24"/>
                <w:szCs w:val="24"/>
              </w:rPr>
              <w:t>18</w:t>
            </w:r>
          </w:p>
        </w:tc>
      </w:tr>
    </w:tbl>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二、资格审查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请复试考生于5月1</w:t>
      </w:r>
      <w:r>
        <w:rPr>
          <w:rFonts w:hint="eastAsia" w:ascii="仿宋" w:hAnsi="仿宋" w:eastAsia="仿宋" w:cs="仿宋"/>
          <w:sz w:val="32"/>
          <w:szCs w:val="32"/>
          <w:lang w:val="en-US" w:eastAsia="zh-CN"/>
        </w:rPr>
        <w:t>5</w:t>
      </w:r>
      <w:r>
        <w:rPr>
          <w:rFonts w:hint="eastAsia" w:ascii="仿宋" w:hAnsi="仿宋" w:eastAsia="仿宋" w:cs="仿宋"/>
          <w:sz w:val="32"/>
          <w:szCs w:val="32"/>
        </w:rPr>
        <w:t>日前提供以下材料进行资格审查，材料以原件扫描件或照片电子版的形式，通过邮件提交，发送邮件至</w:t>
      </w:r>
      <w:r>
        <w:rPr>
          <w:rFonts w:ascii="仿宋" w:hAnsi="仿宋" w:eastAsia="仿宋" w:cs="仿宋"/>
          <w:sz w:val="32"/>
          <w:szCs w:val="32"/>
        </w:rPr>
        <w:t>sysueco@mail.sysu.edu.cn</w:t>
      </w:r>
      <w:r>
        <w:rPr>
          <w:rFonts w:hint="eastAsia" w:ascii="仿宋" w:hAnsi="仿宋" w:eastAsia="仿宋" w:cs="仿宋"/>
          <w:sz w:val="32"/>
          <w:szCs w:val="32"/>
        </w:rPr>
        <w:t>邮箱，邮件标题格式：“考生编号-姓名-资格审查材料”，入学复查时核对原件。</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（一）资格审查材料</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初试准考证。</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学籍学历证明（往届考生须提交《教育部学历证书电子注册备案表》，应届生须提交《教育部学籍在线验证报告》办理方式详见中国高等教育学生信息网http://www.chsi.com.cn/xlcx/bgys.jsp）。</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4.</w:t>
      </w:r>
      <w:r>
        <w:rPr>
          <w:rFonts w:hint="eastAsia" w:ascii="仿宋" w:hAnsi="仿宋" w:eastAsia="仿宋" w:cs="仿宋"/>
          <w:bCs/>
          <w:sz w:val="32"/>
          <w:szCs w:val="32"/>
        </w:rPr>
        <w:t>本科阶段学习成绩单原件或复印件（原件应加盖学校教务管理部门公章，复印件须有“原件复印”并加盖原件存档单位公章）。</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5.</w:t>
      </w:r>
      <w:r>
        <w:rPr>
          <w:rFonts w:hint="eastAsia" w:ascii="仿宋" w:hAnsi="仿宋" w:eastAsia="仿宋" w:cs="仿宋"/>
          <w:bCs/>
          <w:sz w:val="32"/>
          <w:szCs w:val="32"/>
        </w:rPr>
        <w:t>应届生提供学生证。</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6.</w:t>
      </w:r>
      <w:r>
        <w:rPr>
          <w:rFonts w:hint="eastAsia" w:ascii="仿宋" w:hAnsi="仿宋" w:eastAsia="仿宋" w:cs="仿宋"/>
          <w:bCs/>
          <w:sz w:val="32"/>
          <w:szCs w:val="32"/>
        </w:rPr>
        <w:t>往届毕业生提供毕业证书、学位证书（毕业证书丢失的提供“中国高等教育学生信息网”的《教育部学历证书电子注册备案表》或《中国高等教育学历认证报告》）。</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7.</w:t>
      </w:r>
      <w:r>
        <w:rPr>
          <w:rFonts w:hint="eastAsia" w:ascii="仿宋" w:hAnsi="仿宋" w:eastAsia="仿宋" w:cs="仿宋"/>
          <w:bCs/>
          <w:sz w:val="32"/>
          <w:szCs w:val="32"/>
        </w:rPr>
        <w:t>凡于境外获得的文凭须提交教育部留学服务中心出具的认证报告。</w:t>
      </w: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t>8.</w:t>
      </w:r>
      <w:r>
        <w:rPr>
          <w:rFonts w:hint="eastAsia" w:ascii="仿宋" w:hAnsi="仿宋" w:eastAsia="仿宋" w:cs="仿宋"/>
          <w:bCs/>
          <w:sz w:val="32"/>
          <w:szCs w:val="32"/>
        </w:rPr>
        <w:t>在读研究生需提供培养单位出具的同意报考证明。</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（二）复试补充材料</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根据复试要求，我院加强对考生既往学业、一贯表现、科研能力、综合素质和思想品德等情况的全面考察，</w:t>
      </w:r>
      <w:bookmarkStart w:id="0" w:name="_Hlk39689706"/>
      <w:r>
        <w:rPr>
          <w:rFonts w:hint="eastAsia" w:ascii="仿宋" w:hAnsi="仿宋" w:eastAsia="仿宋" w:cs="仿宋"/>
          <w:sz w:val="32"/>
          <w:szCs w:val="32"/>
        </w:rPr>
        <w:t>请考生提供大学学习成绩单、科研成果、竞赛获奖、社会服务等相关补充材料，</w:t>
      </w:r>
      <w:bookmarkEnd w:id="0"/>
      <w:r>
        <w:rPr>
          <w:rFonts w:hint="eastAsia" w:ascii="仿宋" w:hAnsi="仿宋" w:eastAsia="仿宋" w:cs="仿宋"/>
          <w:sz w:val="32"/>
          <w:szCs w:val="32"/>
        </w:rPr>
        <w:t>作为复试综合评价的评分依据。</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以上材料，复试前提交原件扫描件，入学复查时核对原件。不符合报考条件者将被取消复试资格。资格审查材料恕不退回。资格审查未通过的考生将取消复试资格。</w:t>
      </w:r>
    </w:p>
    <w:p>
      <w:pPr>
        <w:spacing w:line="540" w:lineRule="exact"/>
        <w:ind w:firstLine="640" w:firstLineChars="200"/>
        <w:rPr>
          <w:rFonts w:ascii="仿宋" w:hAnsi="仿宋" w:eastAsia="仿宋" w:cs="仿宋"/>
          <w:kern w:val="0"/>
          <w:sz w:val="32"/>
          <w:szCs w:val="32"/>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三、复试方式、内容及评分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（一）复试方式</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复试方式：网络远程复试。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复试总分：复试总分占入学总成绩的5</w:t>
      </w:r>
      <w:r>
        <w:rPr>
          <w:rFonts w:ascii="仿宋" w:hAnsi="仿宋" w:eastAsia="仿宋" w:cs="仿宋"/>
          <w:sz w:val="32"/>
          <w:szCs w:val="32"/>
        </w:rPr>
        <w:t>0%</w:t>
      </w:r>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考核时间：</w:t>
      </w:r>
      <w:bookmarkStart w:id="1" w:name="_Hlk38909095"/>
      <w:r>
        <w:rPr>
          <w:rFonts w:hint="eastAsia" w:ascii="仿宋" w:hAnsi="仿宋" w:eastAsia="仿宋" w:cs="仿宋"/>
          <w:sz w:val="32"/>
          <w:szCs w:val="32"/>
        </w:rPr>
        <w:t>每位考生的复试总时间不少于</w:t>
      </w:r>
      <w:r>
        <w:rPr>
          <w:rFonts w:ascii="仿宋" w:hAnsi="仿宋" w:eastAsia="仿宋" w:cs="仿宋"/>
          <w:sz w:val="32"/>
          <w:szCs w:val="32"/>
        </w:rPr>
        <w:t>20</w:t>
      </w:r>
      <w:r>
        <w:rPr>
          <w:rFonts w:hint="eastAsia" w:ascii="仿宋" w:hAnsi="仿宋" w:eastAsia="仿宋" w:cs="仿宋"/>
          <w:sz w:val="32"/>
          <w:szCs w:val="32"/>
        </w:rPr>
        <w:t>分钟</w:t>
      </w:r>
      <w:bookmarkEnd w:id="1"/>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4.</w:t>
      </w:r>
      <w:bookmarkStart w:id="2" w:name="_Hlk38909064"/>
      <w:r>
        <w:rPr>
          <w:rFonts w:hint="eastAsia" w:ascii="仿宋" w:hAnsi="仿宋" w:eastAsia="仿宋" w:cs="仿宋"/>
          <w:sz w:val="32"/>
          <w:szCs w:val="32"/>
        </w:rPr>
        <w:t>考核办法：</w:t>
      </w:r>
      <w:bookmarkEnd w:id="2"/>
      <w:r>
        <w:rPr>
          <w:rFonts w:hint="eastAsia" w:ascii="仿宋" w:hAnsi="仿宋" w:eastAsia="仿宋" w:cs="仿宋"/>
          <w:sz w:val="32"/>
          <w:szCs w:val="32"/>
        </w:rPr>
        <w:t>以面试为主。复试小组对参加复试的考生进行逐个考核，考生当场回答问题，必要时，复试小组成员会就相关问题进一步提问。</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（二）复试内容</w:t>
      </w:r>
    </w:p>
    <w:p>
      <w:pPr>
        <w:spacing w:line="540" w:lineRule="exact"/>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复试考核内容由综合评价、外语应用能力测试、专业能力及综合素质考核三部分构成。</w:t>
      </w:r>
    </w:p>
    <w:p>
      <w:pPr>
        <w:spacing w:line="540" w:lineRule="exact"/>
        <w:ind w:firstLine="640" w:firstLineChars="200"/>
        <w:rPr>
          <w:rFonts w:ascii="仿宋" w:hAnsi="仿宋" w:eastAsia="仿宋" w:cs="仿宋"/>
          <w:sz w:val="32"/>
          <w:szCs w:val="32"/>
        </w:rPr>
      </w:pPr>
      <w:bookmarkStart w:id="3" w:name="_Hlk38908667"/>
      <w:r>
        <w:rPr>
          <w:rFonts w:hint="eastAsia" w:ascii="仿宋" w:hAnsi="仿宋" w:eastAsia="仿宋" w:cs="仿宋"/>
          <w:sz w:val="32"/>
          <w:szCs w:val="32"/>
        </w:rPr>
        <w:t>1．综合评价（占复试成绩的20%）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考试内容：结合考生大学学习成绩单、科研成果、竞赛获奖、社会服务等相关资料，对考生既往学业、一贯表现、科研能力、综合素质和思想政治素质等情况进行全面考察。</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2.外语应用能力测试（占复试成绩的20%）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考试内容：重点考查考生外语应用的基本能力，是否具备本专业研究生入学的基本要求。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3.专业能力及综合素质考核（占复试成绩的60%）</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核内容：重点考查考生对专业理论及相关知识的掌握是否扎实、深厚和宽广，是否具备本专业硕士研究生入学的基本要求；考查考生的知识结构、实践（实验）能力、综合分析和解决实际问题的能力、创新能力、写作水平等。</w:t>
      </w:r>
    </w:p>
    <w:bookmarkEnd w:id="3"/>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（三）考核评分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每位考生复试结束后，由复试小组成员现场独立为考生评分。复试小组成员各自评分的算术平均值为该考生的最终复试成绩。成绩保留小数点后两位，四舍五入。</w:t>
      </w:r>
    </w:p>
    <w:p>
      <w:pPr>
        <w:spacing w:line="540" w:lineRule="exact"/>
        <w:ind w:firstLine="640" w:firstLineChars="200"/>
        <w:rPr>
          <w:rFonts w:ascii="仿宋" w:hAnsi="仿宋" w:eastAsia="仿宋" w:cs="仿宋"/>
          <w:color w:val="FF0000"/>
          <w:sz w:val="32"/>
          <w:szCs w:val="32"/>
        </w:rPr>
      </w:pPr>
    </w:p>
    <w:p>
      <w:pPr>
        <w:spacing w:line="540" w:lineRule="exact"/>
        <w:ind w:firstLine="643" w:firstLineChars="200"/>
        <w:rPr>
          <w:rFonts w:ascii="仿宋" w:hAnsi="仿宋" w:eastAsia="仿宋" w:cs="仿宋"/>
          <w:color w:val="FF0000"/>
          <w:sz w:val="32"/>
          <w:szCs w:val="32"/>
          <w:u w:val="single"/>
        </w:rPr>
      </w:pPr>
      <w:r>
        <w:rPr>
          <w:rFonts w:hint="eastAsia" w:ascii="仿宋" w:hAnsi="仿宋" w:eastAsia="仿宋" w:cs="仿宋"/>
          <w:b/>
          <w:sz w:val="32"/>
          <w:szCs w:val="32"/>
        </w:rPr>
        <w:t>四、复试成绩</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1.复试成绩和初试成绩相加，即为入学考试总成绩，复试成绩和初试成绩各占总成绩的50%。</w:t>
      </w:r>
    </w:p>
    <w:p>
      <w:pPr>
        <w:widowControl/>
        <w:spacing w:line="540" w:lineRule="exact"/>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2.按照总成绩从高分到低分依次确定拟录取名单，</w:t>
      </w:r>
      <w:r>
        <w:rPr>
          <w:rFonts w:hint="eastAsia" w:ascii="仿宋" w:hAnsi="仿宋" w:eastAsia="仿宋" w:cs="仿宋"/>
          <w:color w:val="FF0000"/>
          <w:sz w:val="32"/>
          <w:szCs w:val="32"/>
        </w:rPr>
        <w:t>总成绩同分情况下按照初试成绩</w:t>
      </w:r>
      <w:r>
        <w:rPr>
          <w:rFonts w:ascii="仿宋" w:hAnsi="仿宋" w:eastAsia="仿宋" w:cs="仿宋"/>
          <w:color w:val="FF0000"/>
          <w:sz w:val="32"/>
          <w:szCs w:val="32"/>
        </w:rPr>
        <w:t>排序</w:t>
      </w:r>
      <w:r>
        <w:rPr>
          <w:rFonts w:hint="eastAsia" w:ascii="仿宋" w:hAnsi="仿宋" w:eastAsia="仿宋" w:cs="仿宋"/>
          <w:color w:val="FF0000"/>
          <w:sz w:val="32"/>
          <w:szCs w:val="32"/>
        </w:rPr>
        <w:t>。</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3.如有以下情况之一的考生，不予录取：</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（1）思想政治素质和道德品质考核不合格。</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（2）未参加复试或复试不合格(复试成绩低于复试满分值的60%为不合格)。</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（3）政审</w:t>
      </w:r>
      <w:r>
        <w:rPr>
          <w:rFonts w:ascii="仿宋" w:hAnsi="仿宋" w:eastAsia="仿宋" w:cs="仿宋"/>
          <w:sz w:val="32"/>
          <w:szCs w:val="32"/>
        </w:rPr>
        <w:t>不合格</w:t>
      </w:r>
      <w:r>
        <w:rPr>
          <w:rFonts w:hint="eastAsia" w:ascii="仿宋" w:hAnsi="仿宋" w:eastAsia="仿宋" w:cs="仿宋"/>
          <w:sz w:val="32"/>
          <w:szCs w:val="32"/>
        </w:rPr>
        <w:t>。</w:t>
      </w:r>
    </w:p>
    <w:p>
      <w:pPr>
        <w:widowControl/>
        <w:spacing w:line="540" w:lineRule="exact"/>
        <w:ind w:firstLine="640" w:firstLineChars="200"/>
        <w:jc w:val="left"/>
        <w:rPr>
          <w:rFonts w:ascii="仿宋" w:hAnsi="仿宋" w:eastAsia="仿宋" w:cs="仿宋"/>
          <w:b/>
          <w:sz w:val="32"/>
          <w:szCs w:val="32"/>
        </w:rPr>
      </w:pPr>
      <w:r>
        <w:rPr>
          <w:rFonts w:hint="eastAsia" w:ascii="仿宋" w:hAnsi="仿宋" w:eastAsia="仿宋" w:cs="仿宋"/>
          <w:sz w:val="32"/>
          <w:szCs w:val="32"/>
        </w:rPr>
        <w:t>入学后3个月内，按照《普通高等学校学生管理规定》有关要求，对所有考生进行全面复查。复查不合格的，取消入学资格或学籍；情节严重的，移交有关部门调查处理。</w:t>
      </w:r>
    </w:p>
    <w:p>
      <w:pPr>
        <w:widowControl/>
        <w:spacing w:line="540" w:lineRule="exact"/>
        <w:ind w:firstLine="643" w:firstLineChars="200"/>
        <w:jc w:val="left"/>
        <w:rPr>
          <w:rFonts w:ascii="仿宋" w:hAnsi="仿宋" w:eastAsia="仿宋" w:cs="仿宋"/>
          <w:b/>
          <w:sz w:val="32"/>
          <w:szCs w:val="32"/>
        </w:rPr>
      </w:pPr>
    </w:p>
    <w:p>
      <w:pPr>
        <w:widowControl/>
        <w:spacing w:line="54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五、信息公布</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将在我院网站</w:t>
      </w:r>
      <w:r>
        <w:rPr>
          <w:rFonts w:hint="eastAsia" w:eastAsia="仿宋_GB2312"/>
          <w:sz w:val="32"/>
          <w:szCs w:val="32"/>
        </w:rPr>
        <w:t>公布复试录取方案、分专业（方向）的拟招生人数、复试考生名单、复试安排、调剂信息、复试结果等信息。对参加专项计划、享受初试加分或照顾政策考生的相关情况，在公布考生名单时将进行说明。</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复试结果报</w:t>
      </w:r>
      <w:r>
        <w:rPr>
          <w:rFonts w:ascii="仿宋" w:hAnsi="仿宋" w:eastAsia="仿宋" w:cs="仿宋"/>
          <w:sz w:val="32"/>
          <w:szCs w:val="32"/>
        </w:rPr>
        <w:t>学校审核后公布</w:t>
      </w:r>
      <w:r>
        <w:rPr>
          <w:rFonts w:hint="eastAsia" w:ascii="仿宋" w:hAnsi="仿宋" w:eastAsia="仿宋" w:cs="仿宋"/>
          <w:sz w:val="32"/>
          <w:szCs w:val="32"/>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拟录取名单经审核后将在中山大学研究生招生网上统一进行公示。</w:t>
      </w:r>
    </w:p>
    <w:p>
      <w:pPr>
        <w:spacing w:line="540" w:lineRule="exact"/>
        <w:ind w:firstLine="640" w:firstLineChars="200"/>
        <w:rPr>
          <w:rFonts w:ascii="仿宋" w:hAnsi="仿宋" w:eastAsia="仿宋" w:cs="仿宋"/>
          <w:sz w:val="32"/>
          <w:szCs w:val="32"/>
        </w:rPr>
      </w:pPr>
    </w:p>
    <w:p>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六、其他事项</w:t>
      </w:r>
    </w:p>
    <w:p>
      <w:pPr>
        <w:spacing w:line="540" w:lineRule="exact"/>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.中山大学研究生院将根据上级统一工作安排开通硕士研究生招生录取通知书邮寄地址校对系统，拟录取的考生可通过该系统进行邮寄地址校对及修改，届时请关注中山大学研究生招生网。</w:t>
      </w:r>
    </w:p>
    <w:p>
      <w:pPr>
        <w:spacing w:line="540" w:lineRule="exact"/>
        <w:ind w:firstLine="640" w:firstLineChars="200"/>
        <w:rPr>
          <w:rFonts w:ascii="仿宋" w:hAnsi="仿宋" w:eastAsia="仿宋" w:cs="仿宋"/>
          <w:color w:val="000000"/>
          <w:sz w:val="32"/>
          <w:szCs w:val="32"/>
        </w:rPr>
      </w:pPr>
      <w:r>
        <w:rPr>
          <w:rFonts w:ascii="仿宋" w:hAnsi="仿宋" w:eastAsia="仿宋" w:cs="仿宋"/>
          <w:sz w:val="32"/>
          <w:szCs w:val="32"/>
        </w:rPr>
        <w:t>2</w:t>
      </w:r>
      <w:r>
        <w:rPr>
          <w:rFonts w:hint="eastAsia" w:ascii="仿宋" w:hAnsi="仿宋" w:eastAsia="仿宋" w:cs="仿宋"/>
          <w:sz w:val="32"/>
          <w:szCs w:val="32"/>
        </w:rPr>
        <w:t>.</w:t>
      </w:r>
      <w:r>
        <w:rPr>
          <w:rFonts w:hint="eastAsia" w:ascii="仿宋" w:hAnsi="仿宋" w:eastAsia="仿宋" w:cs="仿宋"/>
          <w:color w:val="000000"/>
          <w:sz w:val="32"/>
          <w:szCs w:val="32"/>
        </w:rPr>
        <w:t>本办法未尽事项，以中山大学研究生院相关文件为准。</w:t>
      </w:r>
    </w:p>
    <w:p>
      <w:pPr>
        <w:spacing w:line="540" w:lineRule="exact"/>
        <w:ind w:firstLine="640" w:firstLineChars="200"/>
        <w:rPr>
          <w:rFonts w:ascii="仿宋" w:hAnsi="仿宋" w:eastAsia="仿宋" w:cs="仿宋"/>
          <w:color w:val="000000"/>
          <w:sz w:val="32"/>
          <w:szCs w:val="32"/>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七、咨询、申诉及监督</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（一）咨询</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u w:val="none"/>
        </w:rPr>
        <w:t>生态学院招生办公室</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 020-39330265</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邮箱：</w:t>
      </w:r>
      <w:r>
        <w:rPr>
          <w:rFonts w:ascii="仿宋" w:hAnsi="仿宋" w:eastAsia="仿宋" w:cs="仿宋"/>
          <w:kern w:val="0"/>
          <w:sz w:val="32"/>
          <w:szCs w:val="32"/>
        </w:rPr>
        <w:t>sysueco@mail.sysu.edu.cn</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（二）申诉</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u w:val="none"/>
        </w:rPr>
        <w:t>生态学院</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 020-39330186</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（三）监督</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中山大学研究生招生办公室</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电话：020-84111686，84113696</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邮箱：</w:t>
      </w:r>
      <w:r>
        <w:fldChar w:fldCharType="begin"/>
      </w:r>
      <w:r>
        <w:instrText xml:space="preserve"> HYPERLINK "mailto:yzba@mail.sysu.edu.cn" </w:instrText>
      </w:r>
      <w:r>
        <w:fldChar w:fldCharType="separate"/>
      </w:r>
      <w:r>
        <w:rPr>
          <w:rFonts w:hint="eastAsia" w:ascii="仿宋" w:hAnsi="仿宋" w:eastAsia="仿宋" w:cs="仿宋"/>
          <w:kern w:val="0"/>
          <w:sz w:val="32"/>
          <w:szCs w:val="32"/>
        </w:rPr>
        <w:t>yzba@mail.sysu.edu.cn</w:t>
      </w:r>
      <w:r>
        <w:rPr>
          <w:rFonts w:hint="eastAsia" w:ascii="仿宋" w:hAnsi="仿宋" w:eastAsia="仿宋" w:cs="仿宋"/>
          <w:kern w:val="0"/>
          <w:sz w:val="32"/>
          <w:szCs w:val="32"/>
        </w:rPr>
        <w:fldChar w:fldCharType="end"/>
      </w:r>
    </w:p>
    <w:p>
      <w:pPr>
        <w:spacing w:line="540" w:lineRule="exact"/>
        <w:ind w:left="480"/>
        <w:rPr>
          <w:rFonts w:ascii="仿宋" w:hAnsi="仿宋" w:eastAsia="仿宋" w:cs="仿宋"/>
          <w:kern w:val="0"/>
          <w:sz w:val="32"/>
          <w:szCs w:val="32"/>
        </w:rPr>
      </w:pPr>
    </w:p>
    <w:p>
      <w:pPr>
        <w:spacing w:line="540" w:lineRule="exact"/>
        <w:ind w:left="480"/>
        <w:rPr>
          <w:rFonts w:ascii="仿宋" w:hAnsi="仿宋" w:eastAsia="仿宋" w:cs="仿宋"/>
          <w:kern w:val="0"/>
          <w:sz w:val="32"/>
          <w:szCs w:val="32"/>
        </w:rPr>
      </w:pPr>
    </w:p>
    <w:p>
      <w:pPr>
        <w:wordWrap w:val="0"/>
        <w:spacing w:line="540" w:lineRule="exact"/>
        <w:ind w:right="480" w:firstLine="640" w:firstLineChars="200"/>
        <w:jc w:val="center"/>
        <w:rPr>
          <w:rFonts w:ascii="仿宋" w:hAnsi="仿宋" w:eastAsia="仿宋" w:cs="仿宋"/>
          <w:sz w:val="32"/>
          <w:szCs w:val="32"/>
          <w:u w:val="none"/>
        </w:rPr>
      </w:pPr>
      <w:r>
        <w:rPr>
          <w:rFonts w:ascii="仿宋" w:hAnsi="仿宋" w:eastAsia="仿宋" w:cs="仿宋"/>
          <w:sz w:val="32"/>
          <w:szCs w:val="32"/>
          <w:u w:val="none"/>
        </w:rPr>
        <w:t xml:space="preserve">                        </w:t>
      </w:r>
      <w:r>
        <w:rPr>
          <w:rFonts w:hint="eastAsia" w:ascii="仿宋" w:hAnsi="仿宋" w:eastAsia="仿宋" w:cs="仿宋"/>
          <w:sz w:val="32"/>
          <w:szCs w:val="32"/>
          <w:u w:val="none"/>
        </w:rPr>
        <w:t>生态学院</w:t>
      </w:r>
    </w:p>
    <w:p>
      <w:pPr>
        <w:spacing w:line="540" w:lineRule="exact"/>
        <w:ind w:right="640" w:firstLine="640" w:firstLineChars="200"/>
        <w:jc w:val="center"/>
        <w:rPr>
          <w:rFonts w:ascii="仿宋" w:hAnsi="仿宋" w:eastAsia="仿宋" w:cs="仿宋"/>
          <w:sz w:val="32"/>
          <w:szCs w:val="32"/>
          <w:u w:val="none"/>
        </w:rPr>
      </w:pPr>
      <w:r>
        <w:rPr>
          <w:rFonts w:ascii="仿宋" w:hAnsi="仿宋" w:eastAsia="仿宋" w:cs="仿宋"/>
          <w:sz w:val="32"/>
          <w:szCs w:val="32"/>
          <w:u w:val="none"/>
        </w:rPr>
        <w:t xml:space="preserve">                       2020</w:t>
      </w:r>
      <w:r>
        <w:rPr>
          <w:rFonts w:hint="eastAsia" w:ascii="仿宋" w:hAnsi="仿宋" w:eastAsia="仿宋" w:cs="仿宋"/>
          <w:sz w:val="32"/>
          <w:szCs w:val="32"/>
          <w:u w:val="none"/>
        </w:rPr>
        <w:t>年</w:t>
      </w:r>
      <w:r>
        <w:rPr>
          <w:rFonts w:ascii="仿宋" w:hAnsi="仿宋" w:eastAsia="仿宋" w:cs="仿宋"/>
          <w:sz w:val="32"/>
          <w:szCs w:val="32"/>
          <w:u w:val="none"/>
        </w:rPr>
        <w:t xml:space="preserve"> 5</w:t>
      </w:r>
      <w:r>
        <w:rPr>
          <w:rFonts w:hint="eastAsia" w:ascii="仿宋" w:hAnsi="仿宋" w:eastAsia="仿宋" w:cs="仿宋"/>
          <w:sz w:val="32"/>
          <w:szCs w:val="32"/>
          <w:u w:val="none"/>
        </w:rPr>
        <w:t>月</w:t>
      </w:r>
      <w:r>
        <w:rPr>
          <w:rFonts w:ascii="仿宋" w:hAnsi="仿宋" w:eastAsia="仿宋" w:cs="仿宋"/>
          <w:sz w:val="32"/>
          <w:szCs w:val="32"/>
        </w:rPr>
        <w:t>1</w:t>
      </w:r>
      <w:r>
        <w:rPr>
          <w:rFonts w:hint="eastAsia" w:ascii="仿宋" w:hAnsi="仿宋" w:eastAsia="仿宋" w:cs="仿宋"/>
          <w:sz w:val="32"/>
          <w:szCs w:val="32"/>
          <w:lang w:val="en-US" w:eastAsia="zh-CN"/>
        </w:rPr>
        <w:t>3</w:t>
      </w:r>
      <w:bookmarkStart w:id="4" w:name="_GoBack"/>
      <w:bookmarkEnd w:id="4"/>
      <w:r>
        <w:rPr>
          <w:rFonts w:hint="eastAsia" w:ascii="仿宋" w:hAnsi="仿宋" w:eastAsia="仿宋" w:cs="仿宋"/>
          <w:sz w:val="32"/>
          <w:szCs w:val="32"/>
          <w:u w:val="none"/>
        </w:rPr>
        <w:t>号</w:t>
      </w:r>
      <w:r>
        <w:rPr>
          <w:rFonts w:ascii="仿宋" w:hAnsi="仿宋" w:eastAsia="仿宋" w:cs="仿宋"/>
          <w:sz w:val="32"/>
          <w:szCs w:val="32"/>
          <w:u w:val="none"/>
        </w:rPr>
        <w:t xml:space="preserve">           </w:t>
      </w:r>
    </w:p>
    <w:p>
      <w:pPr>
        <w:widowControl/>
        <w:spacing w:line="240" w:lineRule="auto"/>
        <w:jc w:val="left"/>
        <w:rPr>
          <w:rFonts w:ascii="仿宋" w:hAnsi="仿宋" w:eastAsia="仿宋" w:cs="仿宋"/>
          <w:b/>
          <w:sz w:val="32"/>
          <w:szCs w:val="32"/>
        </w:rPr>
      </w:pPr>
    </w:p>
    <w:p>
      <w:pPr>
        <w:widowControl/>
        <w:spacing w:line="540" w:lineRule="exact"/>
        <w:jc w:val="left"/>
        <w:rPr>
          <w:rFonts w:ascii="仿宋" w:hAnsi="仿宋" w:eastAsia="仿宋" w:cs="仿宋"/>
          <w:b/>
          <w:sz w:val="32"/>
          <w:szCs w:val="32"/>
        </w:rPr>
      </w:pPr>
      <w:r>
        <w:rPr>
          <w:rFonts w:hint="eastAsia" w:ascii="仿宋" w:hAnsi="仿宋" w:eastAsia="仿宋" w:cs="仿宋"/>
          <w:b/>
          <w:sz w:val="32"/>
          <w:szCs w:val="32"/>
        </w:rPr>
        <w:t>附件：</w:t>
      </w:r>
    </w:p>
    <w:p>
      <w:pPr>
        <w:spacing w:line="540" w:lineRule="exact"/>
        <w:ind w:left="480" w:firstLine="320" w:firstLineChars="100"/>
        <w:rPr>
          <w:rFonts w:ascii="仿宋" w:hAnsi="仿宋" w:eastAsia="仿宋" w:cs="仿宋"/>
          <w:sz w:val="32"/>
          <w:szCs w:val="32"/>
        </w:rPr>
      </w:pPr>
      <w:r>
        <w:rPr>
          <w:rFonts w:hint="eastAsia" w:ascii="仿宋" w:hAnsi="仿宋" w:eastAsia="仿宋" w:cs="仿宋"/>
          <w:sz w:val="32"/>
          <w:szCs w:val="32"/>
        </w:rPr>
        <w:t>1.复试名单</w:t>
      </w:r>
    </w:p>
    <w:p>
      <w:pPr>
        <w:spacing w:line="540" w:lineRule="exact"/>
        <w:ind w:left="480" w:firstLine="320" w:firstLineChars="1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2.中山大学2020年硕士研究生网络远程复试流程及复试系统使用指南（考生版）</w:t>
      </w:r>
    </w:p>
    <w:p>
      <w:pPr>
        <w:spacing w:line="540" w:lineRule="exact"/>
        <w:ind w:left="480" w:firstLine="320" w:firstLineChars="1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中山大学2020年硕士研究生入学考试考生诚信复试承诺书</w:t>
      </w:r>
    </w:p>
    <w:p>
      <w:pPr>
        <w:spacing w:line="540" w:lineRule="exact"/>
        <w:ind w:left="480" w:firstLine="320" w:firstLineChars="1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.复试安排</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96706"/>
    </w:sdtPr>
    <w:sdtEndPr>
      <w:rPr>
        <w:sz w:val="21"/>
      </w:rPr>
    </w:sdtEndPr>
    <w:sdtContent>
      <w:p>
        <w:pPr>
          <w:pStyle w:val="5"/>
          <w:jc w:val="center"/>
          <w:rPr>
            <w:sz w:val="21"/>
          </w:rPr>
        </w:pPr>
        <w:r>
          <w:rPr>
            <w:sz w:val="21"/>
          </w:rPr>
          <w:fldChar w:fldCharType="begin"/>
        </w:r>
        <w:r>
          <w:rPr>
            <w:sz w:val="21"/>
          </w:rPr>
          <w:instrText xml:space="preserve">PAGE   \* MERGEFORMAT</w:instrText>
        </w:r>
        <w:r>
          <w:rPr>
            <w:sz w:val="21"/>
          </w:rPr>
          <w:fldChar w:fldCharType="separate"/>
        </w:r>
        <w:r>
          <w:rPr>
            <w:sz w:val="21"/>
            <w:lang w:val="zh-CN"/>
          </w:rPr>
          <w:t>8</w:t>
        </w:r>
        <w:r>
          <w:rPr>
            <w:sz w:val="21"/>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D3"/>
    <w:rsid w:val="00007483"/>
    <w:rsid w:val="000152E6"/>
    <w:rsid w:val="00063C5E"/>
    <w:rsid w:val="000738ED"/>
    <w:rsid w:val="0007525D"/>
    <w:rsid w:val="00080BBE"/>
    <w:rsid w:val="00081F6C"/>
    <w:rsid w:val="0008625F"/>
    <w:rsid w:val="00094674"/>
    <w:rsid w:val="00095450"/>
    <w:rsid w:val="000A35E7"/>
    <w:rsid w:val="000A5C66"/>
    <w:rsid w:val="000B0639"/>
    <w:rsid w:val="000B1B70"/>
    <w:rsid w:val="000C4336"/>
    <w:rsid w:val="000E2F4E"/>
    <w:rsid w:val="001168AA"/>
    <w:rsid w:val="001172CB"/>
    <w:rsid w:val="00123604"/>
    <w:rsid w:val="00145D05"/>
    <w:rsid w:val="00176846"/>
    <w:rsid w:val="00177C3A"/>
    <w:rsid w:val="00183758"/>
    <w:rsid w:val="0019599F"/>
    <w:rsid w:val="001A2DFF"/>
    <w:rsid w:val="001A4D50"/>
    <w:rsid w:val="001B2B46"/>
    <w:rsid w:val="001F2485"/>
    <w:rsid w:val="00203FDC"/>
    <w:rsid w:val="0020512B"/>
    <w:rsid w:val="00210651"/>
    <w:rsid w:val="00217225"/>
    <w:rsid w:val="00222024"/>
    <w:rsid w:val="00227988"/>
    <w:rsid w:val="002340F3"/>
    <w:rsid w:val="00260278"/>
    <w:rsid w:val="0026238A"/>
    <w:rsid w:val="00263599"/>
    <w:rsid w:val="0029164B"/>
    <w:rsid w:val="00295593"/>
    <w:rsid w:val="00296155"/>
    <w:rsid w:val="002A319E"/>
    <w:rsid w:val="002A7FB3"/>
    <w:rsid w:val="002D02FD"/>
    <w:rsid w:val="002D13CF"/>
    <w:rsid w:val="002F1300"/>
    <w:rsid w:val="002F64AC"/>
    <w:rsid w:val="00302B96"/>
    <w:rsid w:val="00305D92"/>
    <w:rsid w:val="00313924"/>
    <w:rsid w:val="0031745C"/>
    <w:rsid w:val="00321930"/>
    <w:rsid w:val="00321E30"/>
    <w:rsid w:val="00327ABD"/>
    <w:rsid w:val="0034045C"/>
    <w:rsid w:val="00342BFC"/>
    <w:rsid w:val="00361830"/>
    <w:rsid w:val="00366B81"/>
    <w:rsid w:val="00367123"/>
    <w:rsid w:val="00380DF8"/>
    <w:rsid w:val="003C77D4"/>
    <w:rsid w:val="003C7B0A"/>
    <w:rsid w:val="003E1C68"/>
    <w:rsid w:val="003F5C8A"/>
    <w:rsid w:val="00402FA0"/>
    <w:rsid w:val="0043092A"/>
    <w:rsid w:val="00441679"/>
    <w:rsid w:val="00451F15"/>
    <w:rsid w:val="00460575"/>
    <w:rsid w:val="00466A54"/>
    <w:rsid w:val="004A46B5"/>
    <w:rsid w:val="004D50C6"/>
    <w:rsid w:val="004E576C"/>
    <w:rsid w:val="004F2BA7"/>
    <w:rsid w:val="00502F0E"/>
    <w:rsid w:val="00504719"/>
    <w:rsid w:val="00522570"/>
    <w:rsid w:val="00527D6C"/>
    <w:rsid w:val="005321CC"/>
    <w:rsid w:val="00536A86"/>
    <w:rsid w:val="00552D4B"/>
    <w:rsid w:val="00564FEF"/>
    <w:rsid w:val="00577AD6"/>
    <w:rsid w:val="00584E68"/>
    <w:rsid w:val="00594001"/>
    <w:rsid w:val="005A2D5A"/>
    <w:rsid w:val="005D20AE"/>
    <w:rsid w:val="005E646F"/>
    <w:rsid w:val="005F70C6"/>
    <w:rsid w:val="00615ED3"/>
    <w:rsid w:val="006201A8"/>
    <w:rsid w:val="00624CB6"/>
    <w:rsid w:val="00640516"/>
    <w:rsid w:val="00643D79"/>
    <w:rsid w:val="00646BE1"/>
    <w:rsid w:val="00655920"/>
    <w:rsid w:val="00670725"/>
    <w:rsid w:val="00685854"/>
    <w:rsid w:val="006C28A3"/>
    <w:rsid w:val="006D61D9"/>
    <w:rsid w:val="006F423D"/>
    <w:rsid w:val="006F702E"/>
    <w:rsid w:val="007165B0"/>
    <w:rsid w:val="007306F7"/>
    <w:rsid w:val="007339A1"/>
    <w:rsid w:val="00734230"/>
    <w:rsid w:val="007342B8"/>
    <w:rsid w:val="007425BD"/>
    <w:rsid w:val="007438C2"/>
    <w:rsid w:val="00754D2E"/>
    <w:rsid w:val="0077161F"/>
    <w:rsid w:val="0079265F"/>
    <w:rsid w:val="007B40C9"/>
    <w:rsid w:val="007C26EA"/>
    <w:rsid w:val="007D0264"/>
    <w:rsid w:val="007D41F7"/>
    <w:rsid w:val="007E4B02"/>
    <w:rsid w:val="007F7F58"/>
    <w:rsid w:val="008022CF"/>
    <w:rsid w:val="00810D99"/>
    <w:rsid w:val="00817496"/>
    <w:rsid w:val="008260B6"/>
    <w:rsid w:val="008608C4"/>
    <w:rsid w:val="00876D7D"/>
    <w:rsid w:val="00893630"/>
    <w:rsid w:val="008B5696"/>
    <w:rsid w:val="008D2AB0"/>
    <w:rsid w:val="008D68AA"/>
    <w:rsid w:val="008E5862"/>
    <w:rsid w:val="008E7D14"/>
    <w:rsid w:val="008F33F2"/>
    <w:rsid w:val="00912DE0"/>
    <w:rsid w:val="00920BE4"/>
    <w:rsid w:val="00927C52"/>
    <w:rsid w:val="0093126C"/>
    <w:rsid w:val="009321FD"/>
    <w:rsid w:val="009979A8"/>
    <w:rsid w:val="009A058A"/>
    <w:rsid w:val="009B745A"/>
    <w:rsid w:val="009C23DC"/>
    <w:rsid w:val="009C4B32"/>
    <w:rsid w:val="009F4F83"/>
    <w:rsid w:val="00A1399A"/>
    <w:rsid w:val="00A23256"/>
    <w:rsid w:val="00A30622"/>
    <w:rsid w:val="00A369AB"/>
    <w:rsid w:val="00A523CD"/>
    <w:rsid w:val="00A5471F"/>
    <w:rsid w:val="00A779D3"/>
    <w:rsid w:val="00AA7F76"/>
    <w:rsid w:val="00AB2161"/>
    <w:rsid w:val="00AC1BA4"/>
    <w:rsid w:val="00AC3484"/>
    <w:rsid w:val="00AC71C3"/>
    <w:rsid w:val="00AD5906"/>
    <w:rsid w:val="00AE6B7A"/>
    <w:rsid w:val="00B00E09"/>
    <w:rsid w:val="00B02453"/>
    <w:rsid w:val="00B12301"/>
    <w:rsid w:val="00B5257D"/>
    <w:rsid w:val="00B66A2E"/>
    <w:rsid w:val="00B85F58"/>
    <w:rsid w:val="00B86265"/>
    <w:rsid w:val="00B915AE"/>
    <w:rsid w:val="00B93E27"/>
    <w:rsid w:val="00B95B86"/>
    <w:rsid w:val="00BB6721"/>
    <w:rsid w:val="00BC0FBE"/>
    <w:rsid w:val="00BC200A"/>
    <w:rsid w:val="00BD0976"/>
    <w:rsid w:val="00BE7212"/>
    <w:rsid w:val="00C02C60"/>
    <w:rsid w:val="00C14E5A"/>
    <w:rsid w:val="00C202EC"/>
    <w:rsid w:val="00C253F0"/>
    <w:rsid w:val="00C30387"/>
    <w:rsid w:val="00C3407E"/>
    <w:rsid w:val="00C40181"/>
    <w:rsid w:val="00C669E0"/>
    <w:rsid w:val="00C72A30"/>
    <w:rsid w:val="00C75B61"/>
    <w:rsid w:val="00C86B41"/>
    <w:rsid w:val="00CA0A58"/>
    <w:rsid w:val="00CB704A"/>
    <w:rsid w:val="00CC305D"/>
    <w:rsid w:val="00CC4186"/>
    <w:rsid w:val="00CD342B"/>
    <w:rsid w:val="00CD77DD"/>
    <w:rsid w:val="00CE5256"/>
    <w:rsid w:val="00CF0A07"/>
    <w:rsid w:val="00CF2043"/>
    <w:rsid w:val="00CF4DDD"/>
    <w:rsid w:val="00D067BC"/>
    <w:rsid w:val="00D368FC"/>
    <w:rsid w:val="00D43062"/>
    <w:rsid w:val="00D51DE9"/>
    <w:rsid w:val="00D53869"/>
    <w:rsid w:val="00D543A3"/>
    <w:rsid w:val="00D7765A"/>
    <w:rsid w:val="00D81239"/>
    <w:rsid w:val="00D92AF1"/>
    <w:rsid w:val="00DA7996"/>
    <w:rsid w:val="00DB2952"/>
    <w:rsid w:val="00DB3C7C"/>
    <w:rsid w:val="00DB3D01"/>
    <w:rsid w:val="00DB5F7B"/>
    <w:rsid w:val="00DC2884"/>
    <w:rsid w:val="00DC64F6"/>
    <w:rsid w:val="00DE7314"/>
    <w:rsid w:val="00DF3D9F"/>
    <w:rsid w:val="00E038A7"/>
    <w:rsid w:val="00E2111A"/>
    <w:rsid w:val="00E46090"/>
    <w:rsid w:val="00E53FE1"/>
    <w:rsid w:val="00E56376"/>
    <w:rsid w:val="00E61573"/>
    <w:rsid w:val="00E6553F"/>
    <w:rsid w:val="00E73AD8"/>
    <w:rsid w:val="00E9233E"/>
    <w:rsid w:val="00E92571"/>
    <w:rsid w:val="00EC59AD"/>
    <w:rsid w:val="00ED18C4"/>
    <w:rsid w:val="00ED36E9"/>
    <w:rsid w:val="00ED4AA4"/>
    <w:rsid w:val="00ED6148"/>
    <w:rsid w:val="00EE2A3C"/>
    <w:rsid w:val="00EF0B35"/>
    <w:rsid w:val="00F00C11"/>
    <w:rsid w:val="00F0205C"/>
    <w:rsid w:val="00F03622"/>
    <w:rsid w:val="00F1565E"/>
    <w:rsid w:val="00F219F5"/>
    <w:rsid w:val="00F21CCB"/>
    <w:rsid w:val="00F51066"/>
    <w:rsid w:val="00F52FCE"/>
    <w:rsid w:val="00F60CB2"/>
    <w:rsid w:val="00FB1512"/>
    <w:rsid w:val="00FB3DDE"/>
    <w:rsid w:val="00FB583C"/>
    <w:rsid w:val="00FB7242"/>
    <w:rsid w:val="00FB7CF9"/>
    <w:rsid w:val="00FD5C91"/>
    <w:rsid w:val="00FE535C"/>
    <w:rsid w:val="0E5D4E60"/>
    <w:rsid w:val="216709D7"/>
    <w:rsid w:val="22475CBD"/>
    <w:rsid w:val="368A6CD7"/>
    <w:rsid w:val="3E78428D"/>
    <w:rsid w:val="4CCD6D47"/>
    <w:rsid w:val="52395CEE"/>
    <w:rsid w:val="54BB4EE9"/>
    <w:rsid w:val="55DC0B73"/>
    <w:rsid w:val="612857E6"/>
    <w:rsid w:val="64644E36"/>
    <w:rsid w:val="64BC30B1"/>
    <w:rsid w:val="6C60729F"/>
    <w:rsid w:val="6E6C1D88"/>
    <w:rsid w:val="7D55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0"/>
    <w:pPr>
      <w:jc w:val="left"/>
    </w:pPr>
  </w:style>
  <w:style w:type="paragraph" w:styleId="4">
    <w:name w:val="Balloon Text"/>
    <w:basedOn w:val="1"/>
    <w:link w:val="18"/>
    <w:unhideWhenUsed/>
    <w:uiPriority w:val="0"/>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uiPriority w:val="0"/>
    <w:rPr>
      <w:b/>
      <w:bCs/>
    </w:rPr>
  </w:style>
  <w:style w:type="table" w:styleId="9">
    <w:name w:val="Table Grid"/>
    <w:basedOn w:val="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unhideWhenUsed/>
    <w:qFormat/>
    <w:uiPriority w:val="99"/>
    <w:rPr>
      <w:color w:val="800080"/>
      <w:u w:val="single"/>
    </w:rPr>
  </w:style>
  <w:style w:type="character" w:styleId="12">
    <w:name w:val="Hyperlink"/>
    <w:unhideWhenUsed/>
    <w:qFormat/>
    <w:uiPriority w:val="99"/>
    <w:rPr>
      <w:color w:val="0000FF"/>
      <w:u w:val="single"/>
    </w:rPr>
  </w:style>
  <w:style w:type="character" w:styleId="13">
    <w:name w:val="annotation reference"/>
    <w:basedOn w:val="10"/>
    <w:semiHidden/>
    <w:unhideWhenUsed/>
    <w:qFormat/>
    <w:uiPriority w:val="0"/>
    <w:rPr>
      <w:sz w:val="21"/>
      <w:szCs w:val="21"/>
    </w:rPr>
  </w:style>
  <w:style w:type="paragraph" w:customStyle="1" w:styleId="14">
    <w:name w:val="列出段落1"/>
    <w:basedOn w:val="1"/>
    <w:qFormat/>
    <w:uiPriority w:val="34"/>
    <w:pPr>
      <w:ind w:firstLine="420" w:firstLineChars="200"/>
    </w:pPr>
  </w:style>
  <w:style w:type="character" w:customStyle="1" w:styleId="15">
    <w:name w:val="页眉 字符"/>
    <w:link w:val="6"/>
    <w:qFormat/>
    <w:uiPriority w:val="99"/>
    <w:rPr>
      <w:sz w:val="18"/>
      <w:szCs w:val="18"/>
    </w:rPr>
  </w:style>
  <w:style w:type="character" w:customStyle="1" w:styleId="16">
    <w:name w:val="页脚 字符"/>
    <w:link w:val="5"/>
    <w:qFormat/>
    <w:uiPriority w:val="99"/>
    <w:rPr>
      <w:sz w:val="18"/>
      <w:szCs w:val="18"/>
    </w:rPr>
  </w:style>
  <w:style w:type="character" w:customStyle="1" w:styleId="17">
    <w:name w:val="标题 1 字符"/>
    <w:link w:val="2"/>
    <w:qFormat/>
    <w:uiPriority w:val="9"/>
    <w:rPr>
      <w:rFonts w:ascii="宋体" w:hAnsi="宋体" w:eastAsia="宋体" w:cs="宋体"/>
      <w:b/>
      <w:bCs/>
      <w:kern w:val="36"/>
      <w:sz w:val="48"/>
      <w:szCs w:val="48"/>
    </w:rPr>
  </w:style>
  <w:style w:type="character" w:customStyle="1" w:styleId="18">
    <w:name w:val="批注框文本 字符"/>
    <w:link w:val="4"/>
    <w:semiHidden/>
    <w:qFormat/>
    <w:uiPriority w:val="0"/>
    <w:rPr>
      <w:kern w:val="2"/>
      <w:sz w:val="18"/>
      <w:szCs w:val="18"/>
    </w:rPr>
  </w:style>
  <w:style w:type="character" w:customStyle="1" w:styleId="19">
    <w:name w:val="批注文字 字符"/>
    <w:basedOn w:val="10"/>
    <w:link w:val="3"/>
    <w:semiHidden/>
    <w:qFormat/>
    <w:uiPriority w:val="0"/>
    <w:rPr>
      <w:kern w:val="2"/>
      <w:sz w:val="21"/>
      <w:szCs w:val="24"/>
    </w:rPr>
  </w:style>
  <w:style w:type="character" w:customStyle="1" w:styleId="20">
    <w:name w:val="批注主题 字符"/>
    <w:basedOn w:val="19"/>
    <w:link w:val="7"/>
    <w:semiHidden/>
    <w:qFormat/>
    <w:uiPriority w:val="0"/>
    <w:rPr>
      <w:b/>
      <w:bCs/>
      <w:kern w:val="2"/>
      <w:sz w:val="21"/>
      <w:szCs w:val="24"/>
    </w:rPr>
  </w:style>
  <w:style w:type="character" w:customStyle="1" w:styleId="21">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0C2C2-CC2B-CE48-AFAB-395AAD8C510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482</Words>
  <Characters>2750</Characters>
  <Lines>22</Lines>
  <Paragraphs>6</Paragraphs>
  <TotalTime>9</TotalTime>
  <ScaleCrop>false</ScaleCrop>
  <LinksUpToDate>false</LinksUpToDate>
  <CharactersWithSpaces>3226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2020-05-12T11:01:00Z</dcterms:created>
  <dc:creator>USER</dc:creator>
  <cp:lastModifiedBy>lala</cp:lastModifiedBy>
  <cp:lastPrinted>2020-05-05T02:24:00Z</cp:lastPrinted>
  <dcterms:modified xsi:type="dcterms:W3CDTF">2020-05-13T03:32:34Z</dcterms:modified>
  <dc:title>中山大学（招生院系）2014年硕士研究生</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