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中山大学测绘科学与技术学院20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学科专业（方向）考生实际情况，制定本方案。 </w:t>
      </w:r>
      <w:r>
        <w:rPr>
          <w:rFonts w:ascii="仿宋" w:hAnsi="仿宋" w:eastAsia="仿宋" w:cs="仿宋"/>
          <w:sz w:val="32"/>
          <w:szCs w:val="32"/>
        </w:rPr>
        <w:t xml:space="preserve">   </w:t>
      </w: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一、复试分数线和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1.我院各专业（方向）复试分数线如下：</w:t>
      </w:r>
    </w:p>
    <w:tbl>
      <w:tblPr>
        <w:tblStyle w:val="4"/>
        <w:tblW w:w="7877" w:type="dxa"/>
        <w:jc w:val="center"/>
        <w:tblLayout w:type="fixed"/>
        <w:tblCellMar>
          <w:top w:w="0" w:type="dxa"/>
          <w:left w:w="108" w:type="dxa"/>
          <w:bottom w:w="0" w:type="dxa"/>
          <w:right w:w="108" w:type="dxa"/>
        </w:tblCellMar>
      </w:tblPr>
      <w:tblGrid>
        <w:gridCol w:w="1498"/>
        <w:gridCol w:w="1276"/>
        <w:gridCol w:w="1123"/>
        <w:gridCol w:w="1286"/>
        <w:gridCol w:w="982"/>
        <w:gridCol w:w="861"/>
        <w:gridCol w:w="851"/>
      </w:tblGrid>
      <w:tr>
        <w:tblPrEx>
          <w:tblCellMar>
            <w:top w:w="0" w:type="dxa"/>
            <w:left w:w="108" w:type="dxa"/>
            <w:bottom w:w="0" w:type="dxa"/>
            <w:right w:w="108" w:type="dxa"/>
          </w:tblCellMar>
        </w:tblPrEx>
        <w:trPr>
          <w:trHeight w:val="387" w:hRule="atLeast"/>
          <w:jc w:val="center"/>
        </w:trPr>
        <w:tc>
          <w:tcPr>
            <w:tcW w:w="14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专业代码</w:t>
            </w:r>
          </w:p>
        </w:tc>
        <w:tc>
          <w:tcPr>
            <w:tcW w:w="1276"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专业名称</w:t>
            </w:r>
          </w:p>
        </w:tc>
        <w:tc>
          <w:tcPr>
            <w:tcW w:w="1123"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方向代码</w:t>
            </w:r>
          </w:p>
        </w:tc>
        <w:tc>
          <w:tcPr>
            <w:tcW w:w="12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方向名称</w:t>
            </w:r>
          </w:p>
        </w:tc>
        <w:tc>
          <w:tcPr>
            <w:tcW w:w="2694"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复试分数线</w:t>
            </w:r>
          </w:p>
        </w:tc>
      </w:tr>
      <w:tr>
        <w:tblPrEx>
          <w:tblCellMar>
            <w:top w:w="0" w:type="dxa"/>
            <w:left w:w="108" w:type="dxa"/>
            <w:bottom w:w="0" w:type="dxa"/>
            <w:right w:w="108" w:type="dxa"/>
          </w:tblCellMar>
        </w:tblPrEx>
        <w:trPr>
          <w:trHeight w:val="375" w:hRule="atLeast"/>
          <w:jc w:val="center"/>
        </w:trPr>
        <w:tc>
          <w:tcPr>
            <w:tcW w:w="149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p>
        </w:tc>
        <w:tc>
          <w:tcPr>
            <w:tcW w:w="1276" w:type="dxa"/>
            <w:vMerge w:val="continue"/>
            <w:tcBorders>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p>
        </w:tc>
        <w:tc>
          <w:tcPr>
            <w:tcW w:w="1123" w:type="dxa"/>
            <w:vMerge w:val="continue"/>
            <w:tcBorders>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p>
        </w:tc>
        <w:tc>
          <w:tcPr>
            <w:tcW w:w="128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仿宋"/>
                <w:b/>
                <w:bCs/>
                <w:kern w:val="0"/>
                <w:szCs w:val="21"/>
              </w:rPr>
            </w:pPr>
          </w:p>
        </w:tc>
        <w:tc>
          <w:tcPr>
            <w:tcW w:w="982"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总分</w:t>
            </w:r>
          </w:p>
        </w:tc>
        <w:tc>
          <w:tcPr>
            <w:tcW w:w="86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政治/外语</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业务课</w:t>
            </w:r>
          </w:p>
        </w:tc>
      </w:tr>
      <w:tr>
        <w:tblPrEx>
          <w:tblCellMar>
            <w:top w:w="0" w:type="dxa"/>
            <w:left w:w="108" w:type="dxa"/>
            <w:bottom w:w="0" w:type="dxa"/>
            <w:right w:w="108" w:type="dxa"/>
          </w:tblCellMar>
        </w:tblPrEx>
        <w:trPr>
          <w:trHeight w:val="854" w:hRule="atLeast"/>
          <w:jc w:val="center"/>
        </w:trPr>
        <w:tc>
          <w:tcPr>
            <w:tcW w:w="1498"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0705</w:t>
            </w:r>
            <w:r>
              <w:rPr>
                <w:rFonts w:ascii="仿宋" w:hAnsi="仿宋" w:eastAsia="仿宋" w:cs="仿宋"/>
                <w:szCs w:val="21"/>
              </w:rPr>
              <w:t>00</w:t>
            </w:r>
          </w:p>
        </w:tc>
        <w:tc>
          <w:tcPr>
            <w:tcW w:w="1276" w:type="dxa"/>
            <w:tcBorders>
              <w:top w:val="single" w:color="auto" w:sz="8" w:space="0"/>
              <w:left w:val="single" w:color="auto" w:sz="8" w:space="0"/>
              <w:bottom w:val="single" w:color="auto" w:sz="8" w:space="0"/>
              <w:right w:val="single" w:color="auto" w:sz="8" w:space="0"/>
            </w:tcBorders>
            <w:vAlign w:val="center"/>
          </w:tcPr>
          <w:p/>
          <w:p>
            <w:pPr>
              <w:jc w:val="center"/>
              <w:rPr>
                <w:rFonts w:ascii="仿宋" w:hAnsi="仿宋" w:eastAsia="仿宋" w:cs="仿宋"/>
                <w:szCs w:val="21"/>
              </w:rPr>
            </w:pPr>
            <w:r>
              <w:rPr>
                <w:rFonts w:hint="eastAsia" w:ascii="仿宋" w:hAnsi="仿宋" w:eastAsia="仿宋" w:cs="仿宋"/>
                <w:szCs w:val="21"/>
              </w:rPr>
              <w:t>地理学</w:t>
            </w:r>
          </w:p>
        </w:tc>
        <w:tc>
          <w:tcPr>
            <w:tcW w:w="112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rPr>
              <w:t>03</w:t>
            </w:r>
          </w:p>
        </w:tc>
        <w:tc>
          <w:tcPr>
            <w:tcW w:w="1286" w:type="dxa"/>
            <w:tcBorders>
              <w:top w:val="single" w:color="auto" w:sz="8" w:space="0"/>
              <w:left w:val="single" w:color="auto" w:sz="8" w:space="0"/>
              <w:bottom w:val="single" w:color="auto" w:sz="8"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地图学与地理信息系统</w:t>
            </w:r>
          </w:p>
        </w:tc>
        <w:tc>
          <w:tcPr>
            <w:tcW w:w="982"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300</w:t>
            </w:r>
          </w:p>
        </w:tc>
        <w:tc>
          <w:tcPr>
            <w:tcW w:w="861" w:type="dxa"/>
            <w:tcBorders>
              <w:top w:val="single" w:color="auto" w:sz="4" w:space="0"/>
              <w:left w:val="nil"/>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50</w:t>
            </w:r>
          </w:p>
        </w:tc>
        <w:tc>
          <w:tcPr>
            <w:tcW w:w="851" w:type="dxa"/>
            <w:tcBorders>
              <w:top w:val="single" w:color="auto" w:sz="4" w:space="0"/>
              <w:left w:val="nil"/>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70</w:t>
            </w:r>
          </w:p>
        </w:tc>
      </w:tr>
      <w:tr>
        <w:tblPrEx>
          <w:tblCellMar>
            <w:top w:w="0" w:type="dxa"/>
            <w:left w:w="108" w:type="dxa"/>
            <w:bottom w:w="0" w:type="dxa"/>
            <w:right w:w="108" w:type="dxa"/>
          </w:tblCellMar>
        </w:tblPrEx>
        <w:trPr>
          <w:trHeight w:val="377" w:hRule="atLeast"/>
          <w:jc w:val="center"/>
        </w:trPr>
        <w:tc>
          <w:tcPr>
            <w:tcW w:w="1498"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0857</w:t>
            </w:r>
            <w:r>
              <w:rPr>
                <w:rFonts w:ascii="仿宋" w:hAnsi="仿宋" w:eastAsia="仿宋" w:cs="仿宋"/>
                <w:szCs w:val="21"/>
              </w:rPr>
              <w:t>00</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rPr>
              <w:t>资源与环境</w:t>
            </w:r>
          </w:p>
        </w:tc>
        <w:tc>
          <w:tcPr>
            <w:tcW w:w="112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rPr>
              <w:t>09</w:t>
            </w:r>
          </w:p>
        </w:tc>
        <w:tc>
          <w:tcPr>
            <w:tcW w:w="1286" w:type="dxa"/>
            <w:tcBorders>
              <w:top w:val="single" w:color="auto" w:sz="8" w:space="0"/>
              <w:left w:val="single" w:color="auto" w:sz="8" w:space="0"/>
              <w:bottom w:val="single" w:color="auto" w:sz="8" w:space="0"/>
              <w:right w:val="single" w:color="auto" w:sz="4"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遥感科学与工程</w:t>
            </w:r>
          </w:p>
        </w:tc>
        <w:tc>
          <w:tcPr>
            <w:tcW w:w="982" w:type="dxa"/>
            <w:tcBorders>
              <w:top w:val="single" w:color="auto" w:sz="4" w:space="0"/>
              <w:left w:val="single" w:color="auto" w:sz="4" w:space="0"/>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280</w:t>
            </w:r>
          </w:p>
        </w:tc>
        <w:tc>
          <w:tcPr>
            <w:tcW w:w="861" w:type="dxa"/>
            <w:tcBorders>
              <w:top w:val="single" w:color="auto" w:sz="4" w:space="0"/>
              <w:left w:val="nil"/>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50</w:t>
            </w:r>
          </w:p>
        </w:tc>
        <w:tc>
          <w:tcPr>
            <w:tcW w:w="851" w:type="dxa"/>
            <w:tcBorders>
              <w:top w:val="single" w:color="auto" w:sz="4" w:space="0"/>
              <w:left w:val="nil"/>
              <w:bottom w:val="single" w:color="auto" w:sz="4"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108" w:type="dxa"/>
            <w:bottom w:w="0" w:type="dxa"/>
            <w:right w:w="108" w:type="dxa"/>
          </w:tblCellMar>
        </w:tblPrEx>
        <w:trPr>
          <w:trHeight w:val="300" w:hRule="atLeast"/>
          <w:jc w:val="center"/>
        </w:trPr>
        <w:tc>
          <w:tcPr>
            <w:tcW w:w="1498"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0859</w:t>
            </w:r>
            <w:r>
              <w:rPr>
                <w:rFonts w:ascii="仿宋" w:hAnsi="仿宋" w:eastAsia="仿宋" w:cs="仿宋"/>
                <w:szCs w:val="21"/>
              </w:rPr>
              <w:t>00</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rPr>
              <w:t>土木水利</w:t>
            </w:r>
          </w:p>
        </w:tc>
        <w:tc>
          <w:tcPr>
            <w:tcW w:w="112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Cs w:val="21"/>
              </w:rPr>
            </w:pPr>
            <w:r>
              <w:rPr>
                <w:rFonts w:ascii="仿宋" w:hAnsi="仿宋" w:eastAsia="仿宋" w:cs="仿宋"/>
                <w:szCs w:val="21"/>
              </w:rPr>
              <w:t>69</w:t>
            </w:r>
          </w:p>
        </w:tc>
        <w:tc>
          <w:tcPr>
            <w:tcW w:w="1286"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不分方向</w:t>
            </w:r>
          </w:p>
        </w:tc>
        <w:tc>
          <w:tcPr>
            <w:tcW w:w="982" w:type="dxa"/>
            <w:tcBorders>
              <w:top w:val="single" w:color="auto" w:sz="4" w:space="0"/>
              <w:left w:val="nil"/>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280</w:t>
            </w:r>
          </w:p>
        </w:tc>
        <w:tc>
          <w:tcPr>
            <w:tcW w:w="861" w:type="dxa"/>
            <w:tcBorders>
              <w:top w:val="single" w:color="auto" w:sz="4" w:space="0"/>
              <w:left w:val="nil"/>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50</w:t>
            </w:r>
          </w:p>
        </w:tc>
        <w:tc>
          <w:tcPr>
            <w:tcW w:w="851" w:type="dxa"/>
            <w:tcBorders>
              <w:top w:val="single" w:color="auto" w:sz="4" w:space="0"/>
              <w:left w:val="nil"/>
              <w:bottom w:val="single" w:color="auto" w:sz="8" w:space="0"/>
              <w:right w:val="single" w:color="auto" w:sz="8" w:space="0"/>
            </w:tcBorders>
            <w:shd w:val="clear" w:color="auto" w:fill="auto"/>
            <w:noWrap/>
            <w:vAlign w:val="center"/>
          </w:tcPr>
          <w:p>
            <w:pPr>
              <w:jc w:val="center"/>
              <w:rPr>
                <w:rFonts w:ascii="仿宋" w:hAnsi="仿宋" w:eastAsia="仿宋" w:cs="仿宋"/>
                <w:szCs w:val="21"/>
              </w:rPr>
            </w:pPr>
            <w:r>
              <w:rPr>
                <w:rFonts w:hint="eastAsia" w:ascii="仿宋" w:hAnsi="仿宋" w:eastAsia="仿宋" w:cs="仿宋"/>
                <w:szCs w:val="21"/>
              </w:rPr>
              <w:t>60</w:t>
            </w:r>
          </w:p>
        </w:tc>
      </w:tr>
    </w:tbl>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.初试成绩符合我院复试分数线要求者，按专业（方向）总分从高到低的顺序确定本专业（方向</w:t>
      </w:r>
      <w:r>
        <w:rPr>
          <w:rFonts w:ascii="仿宋" w:hAnsi="仿宋" w:eastAsia="仿宋" w:cs="仿宋"/>
          <w:sz w:val="32"/>
          <w:szCs w:val="32"/>
        </w:rPr>
        <w:t>）</w:t>
      </w:r>
      <w:r>
        <w:rPr>
          <w:rFonts w:hint="eastAsia" w:ascii="仿宋" w:hAnsi="仿宋" w:eastAsia="仿宋" w:cs="仿宋"/>
          <w:sz w:val="32"/>
          <w:szCs w:val="32"/>
        </w:rPr>
        <w:t>参加复试的考生名单。</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.考生可以通过学院官网查询复试名单（见附件1）。</w:t>
      </w:r>
    </w:p>
    <w:p>
      <w:pPr>
        <w:spacing w:line="540" w:lineRule="exact"/>
        <w:ind w:firstLine="640" w:firstLineChars="200"/>
        <w:rPr>
          <w:rFonts w:hint="eastAsia"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.各专业拟招生人数如下，将根据情况调整，最终以实际录取人数为准：</w:t>
      </w:r>
    </w:p>
    <w:p>
      <w:pPr>
        <w:spacing w:line="540" w:lineRule="exact"/>
        <w:ind w:firstLine="640" w:firstLineChars="200"/>
        <w:rPr>
          <w:rFonts w:hint="eastAsia" w:ascii="仿宋" w:hAnsi="仿宋" w:eastAsia="仿宋" w:cs="仿宋"/>
          <w:sz w:val="32"/>
          <w:szCs w:val="32"/>
        </w:rPr>
      </w:pPr>
    </w:p>
    <w:p>
      <w:pPr>
        <w:spacing w:line="540" w:lineRule="exact"/>
        <w:ind w:firstLine="640" w:firstLineChars="200"/>
        <w:rPr>
          <w:rFonts w:hint="eastAsia" w:ascii="仿宋" w:hAnsi="仿宋" w:eastAsia="仿宋" w:cs="仿宋"/>
          <w:sz w:val="32"/>
          <w:szCs w:val="32"/>
        </w:rPr>
      </w:pPr>
    </w:p>
    <w:tbl>
      <w:tblPr>
        <w:tblStyle w:val="4"/>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80"/>
        <w:gridCol w:w="1245"/>
        <w:gridCol w:w="147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专业代码</w:t>
            </w:r>
          </w:p>
        </w:tc>
        <w:tc>
          <w:tcPr>
            <w:tcW w:w="1380" w:type="dxa"/>
            <w:shd w:val="clear" w:color="auto" w:fill="auto"/>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专业名称</w:t>
            </w:r>
          </w:p>
        </w:tc>
        <w:tc>
          <w:tcPr>
            <w:tcW w:w="1245" w:type="dxa"/>
            <w:shd w:val="clear" w:color="auto" w:fill="auto"/>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总计划</w:t>
            </w:r>
          </w:p>
        </w:tc>
        <w:tc>
          <w:tcPr>
            <w:tcW w:w="1470" w:type="dxa"/>
            <w:shd w:val="clear" w:color="auto" w:fill="auto"/>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已招推免生</w:t>
            </w:r>
          </w:p>
        </w:tc>
        <w:tc>
          <w:tcPr>
            <w:tcW w:w="2040" w:type="dxa"/>
            <w:shd w:val="clear" w:color="auto" w:fill="auto"/>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公开招考计划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spacing w:line="540" w:lineRule="exact"/>
              <w:jc w:val="center"/>
              <w:rPr>
                <w:rFonts w:ascii="仿宋" w:hAnsi="仿宋" w:eastAsia="仿宋" w:cs="仿宋"/>
                <w:b/>
                <w:szCs w:val="21"/>
              </w:rPr>
            </w:pPr>
            <w:r>
              <w:rPr>
                <w:rFonts w:hint="eastAsia" w:ascii="仿宋" w:hAnsi="仿宋" w:eastAsia="仿宋" w:cs="仿宋"/>
                <w:b/>
                <w:szCs w:val="21"/>
              </w:rPr>
              <w:t>07</w:t>
            </w:r>
            <w:r>
              <w:rPr>
                <w:rFonts w:ascii="仿宋" w:hAnsi="仿宋" w:eastAsia="仿宋" w:cs="仿宋"/>
                <w:b/>
                <w:szCs w:val="21"/>
              </w:rPr>
              <w:t>0500</w:t>
            </w:r>
          </w:p>
        </w:tc>
        <w:tc>
          <w:tcPr>
            <w:tcW w:w="138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地理学</w:t>
            </w:r>
          </w:p>
        </w:tc>
        <w:tc>
          <w:tcPr>
            <w:tcW w:w="1245"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11</w:t>
            </w:r>
          </w:p>
        </w:tc>
        <w:tc>
          <w:tcPr>
            <w:tcW w:w="147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1</w:t>
            </w:r>
          </w:p>
        </w:tc>
        <w:tc>
          <w:tcPr>
            <w:tcW w:w="204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spacing w:line="540" w:lineRule="exact"/>
              <w:jc w:val="center"/>
              <w:rPr>
                <w:rFonts w:ascii="仿宋" w:hAnsi="仿宋" w:eastAsia="仿宋" w:cs="仿宋"/>
                <w:b/>
                <w:szCs w:val="21"/>
              </w:rPr>
            </w:pPr>
            <w:r>
              <w:rPr>
                <w:rFonts w:hint="eastAsia" w:ascii="仿宋" w:hAnsi="仿宋" w:eastAsia="仿宋" w:cs="仿宋"/>
                <w:b/>
                <w:szCs w:val="21"/>
              </w:rPr>
              <w:t>0857</w:t>
            </w:r>
            <w:r>
              <w:rPr>
                <w:rFonts w:ascii="仿宋" w:hAnsi="仿宋" w:eastAsia="仿宋" w:cs="仿宋"/>
                <w:b/>
                <w:szCs w:val="21"/>
              </w:rPr>
              <w:t>00</w:t>
            </w:r>
          </w:p>
        </w:tc>
        <w:tc>
          <w:tcPr>
            <w:tcW w:w="138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资源与环境</w:t>
            </w:r>
          </w:p>
        </w:tc>
        <w:tc>
          <w:tcPr>
            <w:tcW w:w="1245"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22</w:t>
            </w:r>
          </w:p>
        </w:tc>
        <w:tc>
          <w:tcPr>
            <w:tcW w:w="147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0</w:t>
            </w:r>
          </w:p>
        </w:tc>
        <w:tc>
          <w:tcPr>
            <w:tcW w:w="204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spacing w:line="540" w:lineRule="exact"/>
              <w:jc w:val="center"/>
              <w:rPr>
                <w:rFonts w:ascii="仿宋" w:hAnsi="仿宋" w:eastAsia="仿宋" w:cs="仿宋"/>
                <w:b/>
                <w:szCs w:val="21"/>
              </w:rPr>
            </w:pPr>
            <w:r>
              <w:rPr>
                <w:rFonts w:hint="eastAsia" w:ascii="仿宋" w:hAnsi="仿宋" w:eastAsia="仿宋" w:cs="仿宋"/>
                <w:b/>
                <w:szCs w:val="21"/>
              </w:rPr>
              <w:t>0859</w:t>
            </w:r>
            <w:r>
              <w:rPr>
                <w:rFonts w:ascii="仿宋" w:hAnsi="仿宋" w:eastAsia="仿宋" w:cs="仿宋"/>
                <w:b/>
                <w:szCs w:val="21"/>
              </w:rPr>
              <w:t>00</w:t>
            </w:r>
          </w:p>
        </w:tc>
        <w:tc>
          <w:tcPr>
            <w:tcW w:w="138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土木水利</w:t>
            </w:r>
          </w:p>
        </w:tc>
        <w:tc>
          <w:tcPr>
            <w:tcW w:w="1245"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2</w:t>
            </w:r>
          </w:p>
        </w:tc>
        <w:tc>
          <w:tcPr>
            <w:tcW w:w="147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0</w:t>
            </w:r>
          </w:p>
        </w:tc>
        <w:tc>
          <w:tcPr>
            <w:tcW w:w="2040" w:type="dxa"/>
            <w:shd w:val="clear" w:color="auto" w:fill="auto"/>
          </w:tcPr>
          <w:p>
            <w:pPr>
              <w:spacing w:line="540" w:lineRule="exact"/>
              <w:jc w:val="center"/>
              <w:rPr>
                <w:rFonts w:ascii="仿宋" w:hAnsi="仿宋" w:eastAsia="仿宋" w:cs="仿宋"/>
                <w:b/>
                <w:szCs w:val="21"/>
              </w:rPr>
            </w:pPr>
            <w:r>
              <w:rPr>
                <w:rFonts w:hint="eastAsia" w:ascii="仿宋" w:hAnsi="仿宋" w:eastAsia="仿宋" w:cs="仿宋"/>
                <w:b/>
                <w:szCs w:val="21"/>
              </w:rPr>
              <w:t>2</w:t>
            </w:r>
          </w:p>
        </w:tc>
      </w:tr>
    </w:tbl>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"mailto:请复试考生于X月X日前提供以下材料进行资格审查，材料以原件扫描件或照片电子版的形式，通过邮件提交，发送邮件至gujzh@mail.sysu.edu.cn" </w:instrText>
      </w:r>
      <w:r>
        <w:rPr>
          <w:rFonts w:hint="eastAsia" w:ascii="仿宋" w:hAnsi="仿宋" w:eastAsia="仿宋" w:cs="仿宋"/>
          <w:sz w:val="32"/>
          <w:szCs w:val="32"/>
        </w:rPr>
        <w:fldChar w:fldCharType="separate"/>
      </w:r>
      <w:r>
        <w:rPr>
          <w:rStyle w:val="6"/>
          <w:rFonts w:hint="eastAsia" w:ascii="仿宋" w:hAnsi="仿宋" w:eastAsia="仿宋" w:cs="仿宋"/>
          <w:color w:val="auto"/>
          <w:sz w:val="32"/>
          <w:szCs w:val="32"/>
          <w:u w:val="none"/>
        </w:rPr>
        <w:t>请复试考生于</w:t>
      </w:r>
      <w:r>
        <w:rPr>
          <w:rStyle w:val="6"/>
          <w:rFonts w:hint="eastAsia" w:ascii="仿宋" w:hAnsi="仿宋" w:eastAsia="仿宋" w:cs="仿宋"/>
          <w:b/>
          <w:bCs/>
          <w:color w:val="auto"/>
          <w:sz w:val="32"/>
          <w:szCs w:val="32"/>
          <w:u w:val="none"/>
        </w:rPr>
        <w:t>5月1</w:t>
      </w:r>
      <w:r>
        <w:rPr>
          <w:rStyle w:val="6"/>
          <w:rFonts w:hint="eastAsia" w:ascii="仿宋" w:hAnsi="仿宋" w:eastAsia="仿宋" w:cs="仿宋"/>
          <w:b/>
          <w:bCs/>
          <w:color w:val="auto"/>
          <w:sz w:val="32"/>
          <w:szCs w:val="32"/>
          <w:u w:val="none"/>
          <w:lang w:val="en-US" w:eastAsia="zh-CN"/>
        </w:rPr>
        <w:t>5</w:t>
      </w:r>
      <w:r>
        <w:rPr>
          <w:rStyle w:val="6"/>
          <w:rFonts w:hint="eastAsia" w:ascii="仿宋" w:hAnsi="仿宋" w:eastAsia="仿宋" w:cs="仿宋"/>
          <w:b/>
          <w:bCs/>
          <w:color w:val="auto"/>
          <w:sz w:val="32"/>
          <w:szCs w:val="32"/>
          <w:u w:val="none"/>
        </w:rPr>
        <w:t>日中午1</w:t>
      </w:r>
      <w:r>
        <w:rPr>
          <w:rStyle w:val="6"/>
          <w:rFonts w:hint="eastAsia" w:ascii="仿宋" w:hAnsi="仿宋" w:eastAsia="仿宋" w:cs="仿宋"/>
          <w:b/>
          <w:bCs/>
          <w:color w:val="auto"/>
          <w:sz w:val="32"/>
          <w:szCs w:val="32"/>
          <w:u w:val="none"/>
          <w:lang w:val="en-US" w:eastAsia="zh-CN"/>
        </w:rPr>
        <w:t>7</w:t>
      </w:r>
      <w:r>
        <w:rPr>
          <w:rStyle w:val="6"/>
          <w:rFonts w:hint="eastAsia" w:ascii="仿宋" w:hAnsi="仿宋" w:eastAsia="仿宋" w:cs="仿宋"/>
          <w:b/>
          <w:bCs/>
          <w:color w:val="auto"/>
          <w:sz w:val="32"/>
          <w:szCs w:val="32"/>
          <w:u w:val="none"/>
        </w:rPr>
        <w:t>点前</w:t>
      </w:r>
      <w:r>
        <w:rPr>
          <w:rStyle w:val="6"/>
          <w:rFonts w:hint="eastAsia" w:ascii="仿宋" w:hAnsi="仿宋" w:eastAsia="仿宋" w:cs="仿宋"/>
          <w:color w:val="auto"/>
          <w:sz w:val="32"/>
          <w:szCs w:val="32"/>
          <w:u w:val="none"/>
        </w:rPr>
        <w:t>提供以下材料进行资格审查，材料以原件扫描件或照片电子版的形式，通过邮件提交，发送邮件至gujzh@mail.sysu.edu.cn</w:t>
      </w:r>
      <w:r>
        <w:rPr>
          <w:rFonts w:hint="eastAsia" w:ascii="仿宋" w:hAnsi="仿宋" w:eastAsia="仿宋" w:cs="仿宋"/>
          <w:sz w:val="32"/>
          <w:szCs w:val="32"/>
        </w:rPr>
        <w:fldChar w:fldCharType="end"/>
      </w:r>
      <w:r>
        <w:rPr>
          <w:rFonts w:hint="eastAsia" w:ascii="仿宋" w:hAnsi="仿宋" w:eastAsia="仿宋" w:cs="仿宋"/>
          <w:sz w:val="32"/>
          <w:szCs w:val="32"/>
        </w:rPr>
        <w:t xml:space="preserve"> 邮箱，邮件标题格式：“考生编号-姓名-资格审查材料”，入学复查时核对原件：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9.</w:t>
      </w:r>
      <w:r>
        <w:rPr>
          <w:rFonts w:hint="eastAsia" w:ascii="仿宋" w:hAnsi="仿宋" w:eastAsia="仿宋" w:cs="仿宋"/>
          <w:bCs/>
          <w:sz w:val="32"/>
          <w:szCs w:val="32"/>
        </w:rPr>
        <w:t>同等学力考生另需提交报名条件所要求的本科课程成绩单和学术论文。</w:t>
      </w:r>
    </w:p>
    <w:p>
      <w:pPr>
        <w:spacing w:line="540" w:lineRule="exact"/>
        <w:ind w:firstLine="640" w:firstLineChars="200"/>
        <w:rPr>
          <w:rFonts w:ascii="仿宋" w:hAnsi="仿宋" w:eastAsia="仿宋" w:cs="仿宋"/>
          <w:bCs/>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为加强对考生既往学业、一贯表现、科研能力、综合素质和思想品德等情况的全面考察，</w:t>
      </w:r>
      <w:bookmarkStart w:id="0" w:name="_Hlk39689706"/>
      <w:r>
        <w:rPr>
          <w:rFonts w:hint="eastAsia" w:ascii="仿宋" w:hAnsi="仿宋" w:eastAsia="仿宋" w:cs="仿宋"/>
          <w:sz w:val="32"/>
          <w:szCs w:val="32"/>
        </w:rPr>
        <w:t>考生需提供大学学习成绩单、科研成果、竞赛获奖、社会服务等相关补充材料，</w:t>
      </w:r>
      <w:bookmarkEnd w:id="0"/>
      <w:r>
        <w:rPr>
          <w:rFonts w:hint="eastAsia" w:ascii="仿宋" w:hAnsi="仿宋" w:eastAsia="仿宋" w:cs="仿宋"/>
          <w:sz w:val="32"/>
          <w:szCs w:val="32"/>
        </w:rPr>
        <w:t>作为复试综合评价的评分依据。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以上材料，复试前提交原件扫描件，入学复查时核对原件。不符合报考条件者将被取消复试资格。资格审查材料恕不退回。资格审查未通过的考生将取消复试资格。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ascii="仿宋" w:hAnsi="仿宋" w:eastAsia="仿宋" w:cs="仿宋"/>
          <w:sz w:val="32"/>
          <w:szCs w:val="32"/>
        </w:rPr>
      </w:pPr>
      <w:bookmarkStart w:id="3" w:name="_Hlk38908667"/>
      <w:r>
        <w:rPr>
          <w:rFonts w:hint="eastAsia" w:ascii="仿宋" w:hAnsi="仿宋" w:eastAsia="仿宋" w:cs="仿宋"/>
          <w:sz w:val="32"/>
          <w:szCs w:val="32"/>
        </w:rPr>
        <w:t>1．综合评价（占复试成绩的20%）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2.外语应用能力测试（占复试成绩的20%）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考试内容：重点考查考生外语应用的基本能力，是否具备本专业研究生入学的基本要求。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3.专业能力及综合素质考核（占复试成绩的60%）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备注：</w:t>
      </w:r>
      <w:bookmarkEnd w:id="3"/>
      <w:r>
        <w:rPr>
          <w:rFonts w:hint="eastAsia" w:ascii="仿宋" w:hAnsi="仿宋" w:eastAsia="仿宋" w:cs="仿宋"/>
          <w:sz w:val="32"/>
          <w:szCs w:val="32"/>
        </w:rPr>
        <w:t>同等学力加试由我院综合考核。</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0" w:firstLineChars="200"/>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2.各专业（方向）按照总成绩从高分到低分依次确定拟录取名单。</w:t>
      </w:r>
      <w:r>
        <w:rPr>
          <w:rFonts w:hint="eastAsia" w:ascii="仿宋" w:hAnsi="仿宋" w:eastAsia="仿宋" w:cs="仿宋"/>
          <w:b/>
          <w:bCs/>
          <w:sz w:val="32"/>
          <w:szCs w:val="32"/>
        </w:rPr>
        <w:t>总成绩同分情况下按照初试成绩</w:t>
      </w:r>
      <w:r>
        <w:rPr>
          <w:rFonts w:ascii="仿宋" w:hAnsi="仿宋" w:eastAsia="仿宋" w:cs="仿宋"/>
          <w:b/>
          <w:bCs/>
          <w:sz w:val="32"/>
          <w:szCs w:val="32"/>
        </w:rPr>
        <w:t>排序</w:t>
      </w:r>
      <w:r>
        <w:rPr>
          <w:rFonts w:hint="eastAsia" w:ascii="仿宋" w:hAnsi="仿宋" w:eastAsia="仿宋" w:cs="仿宋"/>
          <w:b/>
          <w:bCs/>
          <w:sz w:val="32"/>
          <w:szCs w:val="32"/>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学术学位及专业学位考生的成绩分别排序，分别按照总成绩从高分到低分依次确定拟录取名单。</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（2）未参加复试或复试不合格(复试成绩低于复试满分值的60%为不合格)。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（3）同等学力加试成绩不合格。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（4）政审不合格。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0" w:firstLineChars="0"/>
        <w:jc w:val="left"/>
        <w:rPr>
          <w:rFonts w:ascii="仿宋" w:hAnsi="仿宋" w:eastAsia="仿宋" w:cs="仿宋"/>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将在我院网站</w:t>
      </w:r>
      <w:r>
        <w:rPr>
          <w:rFonts w:hint="eastAsia" w:eastAsia="仿宋_GB2312"/>
          <w:sz w:val="32"/>
          <w:szCs w:val="32"/>
        </w:rPr>
        <w:t>公布复试录取方案、分专业（方向）的拟招生人数、复试考生名单、复试安排、调剂信息、复试结果等信息。对参加专项计划、享受初试加分或照顾政策考生的相关情况，在公布考生名单时将进行说明。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.中山大学研究生院将根据上级统一工作安排开通硕士研究生招生录取通知书邮寄地址校对系统，拟录取的考生可通过该系统进行邮寄地址校对及修改，届时请关注中山大学研究生招生网。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测绘科学与技术学院办公室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电话：0756-3668354</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邮箱：gujzh@mail.sysu.edu.cn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测绘科学与技术学院办公室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电话：0756-3668203</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rPr>
          <w:rFonts w:ascii="仿宋" w:hAnsi="仿宋" w:eastAsia="仿宋" w:cs="仿宋"/>
          <w:kern w:val="0"/>
          <w:sz w:val="32"/>
          <w:szCs w:val="32"/>
        </w:rPr>
      </w:pPr>
    </w:p>
    <w:p>
      <w:pPr>
        <w:spacing w:line="540" w:lineRule="exact"/>
        <w:ind w:right="64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测绘科学与技术学院办公室</w:t>
      </w:r>
    </w:p>
    <w:p>
      <w:pPr>
        <w:spacing w:line="540" w:lineRule="exact"/>
        <w:ind w:right="640" w:firstLine="640" w:firstLineChars="200"/>
        <w:jc w:val="right"/>
        <w:rPr>
          <w:rFonts w:ascii="仿宋" w:hAnsi="仿宋" w:eastAsia="仿宋" w:cs="仿宋"/>
          <w:sz w:val="32"/>
          <w:szCs w:val="32"/>
        </w:rPr>
      </w:pPr>
      <w:r>
        <w:rPr>
          <w:rFonts w:hint="eastAsia" w:ascii="仿宋" w:hAnsi="仿宋" w:eastAsia="仿宋" w:cs="仿宋"/>
          <w:sz w:val="32"/>
          <w:szCs w:val="32"/>
        </w:rPr>
        <w:t xml:space="preserve">                         2020年5月</w:t>
      </w:r>
      <w:r>
        <w:rPr>
          <w:rFonts w:ascii="仿宋" w:hAnsi="仿宋" w:eastAsia="仿宋" w:cs="仿宋"/>
          <w:sz w:val="32"/>
          <w:szCs w:val="32"/>
        </w:rPr>
        <w:t>13</w:t>
      </w:r>
      <w:r>
        <w:rPr>
          <w:rFonts w:hint="eastAsia" w:ascii="仿宋" w:hAnsi="仿宋" w:eastAsia="仿宋" w:cs="仿宋"/>
          <w:sz w:val="32"/>
          <w:szCs w:val="32"/>
        </w:rPr>
        <w:t>日</w:t>
      </w:r>
    </w:p>
    <w:p>
      <w:pPr>
        <w:widowControl/>
        <w:spacing w:line="540" w:lineRule="exact"/>
        <w:jc w:val="left"/>
        <w:rPr>
          <w:rFonts w:ascii="仿宋" w:hAnsi="仿宋" w:eastAsia="仿宋" w:cs="仿宋"/>
          <w:b/>
          <w:sz w:val="32"/>
          <w:szCs w:val="32"/>
        </w:rPr>
      </w:pPr>
    </w:p>
    <w:p>
      <w:pPr>
        <w:widowControl/>
        <w:spacing w:line="540" w:lineRule="exact"/>
        <w:jc w:val="left"/>
        <w:rPr>
          <w:rFonts w:hint="eastAsia" w:ascii="仿宋" w:hAnsi="仿宋" w:eastAsia="仿宋" w:cs="仿宋"/>
          <w:b/>
          <w:sz w:val="32"/>
          <w:szCs w:val="32"/>
        </w:rPr>
      </w:pPr>
    </w:p>
    <w:p>
      <w:pPr>
        <w:widowControl/>
        <w:spacing w:line="540" w:lineRule="exact"/>
        <w:jc w:val="left"/>
        <w:rPr>
          <w:rFonts w:hint="eastAsia" w:ascii="仿宋" w:hAnsi="仿宋" w:eastAsia="仿宋" w:cs="仿宋"/>
          <w:b/>
          <w:sz w:val="32"/>
          <w:szCs w:val="32"/>
        </w:rPr>
      </w:pPr>
    </w:p>
    <w:p>
      <w:pPr>
        <w:widowControl/>
        <w:spacing w:line="540" w:lineRule="exact"/>
        <w:jc w:val="left"/>
        <w:rPr>
          <w:rFonts w:hint="eastAsia" w:ascii="仿宋" w:hAnsi="仿宋" w:eastAsia="仿宋" w:cs="仿宋"/>
          <w:b/>
          <w:sz w:val="32"/>
          <w:szCs w:val="32"/>
        </w:rPr>
      </w:pPr>
    </w:p>
    <w:p>
      <w:pPr>
        <w:widowControl/>
        <w:spacing w:line="540" w:lineRule="exact"/>
        <w:jc w:val="left"/>
        <w:rPr>
          <w:rFonts w:hint="eastAsia" w:ascii="仿宋" w:hAnsi="仿宋" w:eastAsia="仿宋" w:cs="仿宋"/>
          <w:b/>
          <w:sz w:val="32"/>
          <w:szCs w:val="32"/>
        </w:rPr>
      </w:pPr>
    </w:p>
    <w:p>
      <w:pPr>
        <w:widowControl/>
        <w:spacing w:line="540" w:lineRule="exact"/>
        <w:jc w:val="left"/>
        <w:rPr>
          <w:rFonts w:ascii="仿宋" w:hAnsi="仿宋" w:eastAsia="仿宋" w:cs="仿宋"/>
          <w:b/>
          <w:sz w:val="32"/>
          <w:szCs w:val="32"/>
        </w:rPr>
      </w:pPr>
      <w:bookmarkStart w:id="4" w:name="_GoBack"/>
      <w:bookmarkEnd w:id="4"/>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2.中山大学2020年硕士研究生网络远程复试流程及复试系统使用指南（考生版）</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中山大学2020年硕士研究生入学考试考生诚信复试承诺书</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.复试安排</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3"/>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A9"/>
    <w:rsid w:val="0050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 w:type="character" w:styleId="7">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2020-05-14T00:27:00Z</dcterms:created>
  <dc:creator>Gz</dc:creator>
  <cp:lastModifiedBy>Gz</cp:lastModifiedBy>
  <dcterms:modified xsi:type="dcterms:W3CDTF">2020-05-14T00:31:02Z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