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《有机化学（940）》考试大纲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1.化合物的命名或写出结构式15％-20%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2.简答题：对反应现象的解释、典型反应的历程等35%-40％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3.分离与鉴别20%-25％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4.推断化合物的结构（给定化学反应、化学性质、红外、核磁等条件20-25%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1.有机化合物的命名、顺反及对映异构体命名、个别重要化合物的俗名和英文缩写。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2.有机化合物的结构、共振杂化体及芳香性，同分异构与构象。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6.常见有机化合物的波谱（红外、核磁）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选读书目：《有机化学》（第四版）天津大学高鸿宾主编，高等教育出版社2004年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DED1ACE"/>
    <w:rsid w:val="2F86342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76CAF61869A040D08459B55F71F27286</vt:lpwstr>
  </property>
</Properties>
</file>