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</w:t>
      </w:r>
      <w:bookmarkStart w:id="0" w:name="_GoBack"/>
      <w:bookmarkEnd w:id="0"/>
      <w:r>
        <w:rPr>
          <w:lang w:val="en-US" w:eastAsia="zh-CN"/>
        </w:rPr>
        <w:t>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《经济学、公司财务管理(各占50％)（950）》考试大纲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3960"/>
        <w:gridCol w:w="2066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《经济学》：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均衡价格理论、消费者行为理论、生产者行为理论（包括生产理论、成本理论和市场均衡理论）、一般均衡理论与福利经济学、市场失灵与微观经济政策、国民收入决定理论、货币理论、失业与通货膨胀理论、经济周期理论、经济增长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《财务管理》：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管理基本原理；财务报表分析和财务预测；价值评估基础；资本成本；投资项目资本预算；债券、股票价值评估；期权价值评估；企业价值评估；资本结构；长期筹资；营运资本管理；本量利分析；短期经营决策；业绩评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二、考试题型（分值，按100分计）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简答题（30-50分）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计算题（30-50）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综合论述与分析题（20-40分）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《经济学原理》（第7版），作者:（美）曼昆　著，梁小民，梁砾 译，北京大学出版社；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《财务成本管理》，2021年度注册会计师全国统一考试辅导教材，中国财政经济出版社。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8FCB13D2A669425184BD1941211DF558</vt:lpwstr>
  </property>
</Properties>
</file>