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《公共管理综合知识（956）》考试大纲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7"/>
        <w:gridCol w:w="3938"/>
        <w:gridCol w:w="207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试卷分为如下四个部分：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1.名词解释题（共4 题，每题5 分，共20 分）；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2.简答题（共3题，每题10 分，共30 分）；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3.论述题（共2 题，每题25 分，共50 分）。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总分为100分。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《公共管理综合知识》旨在考查应试者的公共管理基础理论和知识素养。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2．考试性质和范围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《公共管理综合知识》是全日制公共管理类学术型硕士学位入学考试专业复试课程。考试范围包括公共管理的基本概念与基础理论和知识。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客观试题（名词解释题、简答题）和主观试题（论述题）相结合的闭卷考试，考试时间为120分钟。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《公共管理综合知识》考试包括以下内容：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（1）基本概念：公共管理与公共行政、公共政策过程、法治行政、治理与政府治理、公共组织中的领导与管理、公共组织文化与公共管理伦理、公共组织变革、非营利组织等有关的基本概念；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基础理论知识：公共管理学的发展脉络、公共组织有关理论与知识、政策制定有关理论与知识、政策执行有关理论与知识、公共管理的法律基础、治理与政府治理有关理论与知识、公共组织文化与公共管理伦理有关理论与知识、公共组织变革有关理论与知识、非营利组织管理有关理论与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5．考试要求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《公共管理综合知识》旨在考察应试者的公共管理基础理论和知识素养，要求应试者：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（1）掌握公共管理学的发展脉络及各阶段的代表性理论观点。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（2）掌握公共组织有关基本知识，包括公共组织结构与过程、文化与伦理，公共组织变革，公共组织内部沟通、激励与协调，公共组织人力资源管理、财政管理、绩效管理、战略管理等有关基本知识。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（3）掌握法治行政有关基本知识，包括公法基本概念、公共管理的法律关系、行政侵权与救济等。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（4）掌握公共政策过程有关基本知识，包括公共政策制定、公共政策执行、公共政策工具等有关基本知识。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（5）掌握治理与政府治理有关基本知识，包括治理与管理、政府治理及其治理工具选择、非营利组织及其参与等有关基本知识。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6．考试题型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（1）名词解释题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7．选读书目：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朱立言、谢明：《公共管理概论（第二版）》，中国人民大学出版社，2015年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朱立言、谢明：《公共管理概论（第二版）》，中国人民大学出版社，2015年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31A23B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D7E593905F504F459ADC5E0B49A6E52A</vt:lpwstr>
  </property>
</Properties>
</file>