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C3" w:rsidRDefault="00A85936">
      <w:pPr>
        <w:widowControl/>
        <w:spacing w:line="360" w:lineRule="auto"/>
        <w:jc w:val="center"/>
        <w:rPr>
          <w:rStyle w:val="a7"/>
          <w:rFonts w:asciiTheme="minorEastAsia" w:hAnsiTheme="minorEastAsia" w:cstheme="minorEastAsia"/>
        </w:rPr>
      </w:pPr>
      <w:r>
        <w:rPr>
          <w:rFonts w:asciiTheme="minorEastAsia" w:hAnsiTheme="minorEastAsia" w:cstheme="minorEastAsia" w:hint="eastAsia"/>
          <w:b/>
          <w:kern w:val="0"/>
          <w:sz w:val="36"/>
          <w:szCs w:val="36"/>
        </w:rPr>
        <w:t>会计硕士专业目录</w:t>
      </w:r>
    </w:p>
    <w:p w:rsidR="000D01C3" w:rsidRDefault="00A85936">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学科点简介：</w:t>
      </w:r>
      <w:r>
        <w:rPr>
          <w:rFonts w:ascii="宋体" w:eastAsia="宋体" w:hAnsi="宋体" w:cs="宋体" w:hint="eastAsia"/>
        </w:rPr>
        <w:t>本学科点</w:t>
      </w:r>
      <w:r>
        <w:rPr>
          <w:rFonts w:ascii="宋体" w:eastAsia="宋体" w:hAnsi="宋体" w:cs="宋体" w:hint="eastAsia"/>
        </w:rPr>
        <w:t>现</w:t>
      </w:r>
      <w:r>
        <w:rPr>
          <w:rFonts w:ascii="Times New Roman" w:eastAsia="宋体" w:hAnsi="Times New Roman"/>
        </w:rPr>
        <w:t>有教工</w:t>
      </w:r>
      <w:r>
        <w:rPr>
          <w:rFonts w:ascii="Times New Roman" w:eastAsia="宋体" w:hAnsi="Times New Roman" w:hint="eastAsia"/>
        </w:rPr>
        <w:t>89</w:t>
      </w:r>
      <w:r>
        <w:rPr>
          <w:rFonts w:ascii="Times New Roman" w:eastAsia="宋体" w:hAnsi="Times New Roman"/>
        </w:rPr>
        <w:t>人，专任教师</w:t>
      </w:r>
      <w:r>
        <w:rPr>
          <w:rFonts w:ascii="Times New Roman" w:eastAsia="宋体" w:hAnsi="Times New Roman"/>
        </w:rPr>
        <w:t>75</w:t>
      </w:r>
      <w:r>
        <w:rPr>
          <w:rFonts w:ascii="Times New Roman" w:eastAsia="宋体" w:hAnsi="Times New Roman"/>
        </w:rPr>
        <w:t>人，</w:t>
      </w:r>
      <w:r>
        <w:rPr>
          <w:rFonts w:ascii="Times New Roman" w:eastAsia="宋体" w:hAnsi="Times New Roman"/>
        </w:rPr>
        <w:t>其中教授</w:t>
      </w:r>
      <w:r>
        <w:rPr>
          <w:rFonts w:ascii="Times New Roman" w:eastAsia="宋体" w:hAnsi="Times New Roman"/>
        </w:rPr>
        <w:t>15</w:t>
      </w:r>
      <w:r>
        <w:rPr>
          <w:rFonts w:ascii="Times New Roman" w:eastAsia="宋体" w:hAnsi="Times New Roman"/>
        </w:rPr>
        <w:t>人、副教授</w:t>
      </w:r>
      <w:r>
        <w:rPr>
          <w:rFonts w:ascii="Times New Roman" w:eastAsia="宋体" w:hAnsi="Times New Roman"/>
        </w:rPr>
        <w:t>28</w:t>
      </w:r>
      <w:r>
        <w:rPr>
          <w:rFonts w:ascii="Times New Roman" w:eastAsia="宋体" w:hAnsi="Times New Roman"/>
        </w:rPr>
        <w:t>人，具有博士学位的教师</w:t>
      </w:r>
      <w:r>
        <w:rPr>
          <w:rFonts w:ascii="Times New Roman" w:eastAsia="宋体" w:hAnsi="Times New Roman"/>
        </w:rPr>
        <w:t>54</w:t>
      </w:r>
      <w:r>
        <w:rPr>
          <w:rFonts w:ascii="Times New Roman" w:eastAsia="宋体" w:hAnsi="Times New Roman"/>
        </w:rPr>
        <w:t>人</w:t>
      </w:r>
      <w:r>
        <w:rPr>
          <w:rFonts w:ascii="Times New Roman" w:eastAsia="宋体" w:hAnsi="Times New Roman"/>
        </w:rPr>
        <w:t>；</w:t>
      </w:r>
      <w:r>
        <w:rPr>
          <w:rFonts w:ascii="Times New Roman" w:eastAsia="宋体" w:hAnsi="Times New Roman"/>
        </w:rPr>
        <w:t>博士生导师</w:t>
      </w:r>
      <w:r>
        <w:rPr>
          <w:rFonts w:ascii="Times New Roman" w:eastAsia="宋体" w:hAnsi="Times New Roman"/>
        </w:rPr>
        <w:t xml:space="preserve"> 4</w:t>
      </w:r>
      <w:r>
        <w:rPr>
          <w:rFonts w:ascii="Times New Roman" w:eastAsia="宋体" w:hAnsi="Times New Roman"/>
        </w:rPr>
        <w:t>人，博士后合作导师</w:t>
      </w:r>
      <w:r>
        <w:rPr>
          <w:rFonts w:ascii="Times New Roman" w:eastAsia="宋体" w:hAnsi="Times New Roman"/>
        </w:rPr>
        <w:t xml:space="preserve"> 6 </w:t>
      </w:r>
      <w:r>
        <w:rPr>
          <w:rFonts w:ascii="Times New Roman" w:eastAsia="宋体" w:hAnsi="Times New Roman"/>
        </w:rPr>
        <w:t>人，学术型硕士研究生导师</w:t>
      </w:r>
      <w:r>
        <w:rPr>
          <w:rFonts w:ascii="Times New Roman" w:eastAsia="宋体" w:hAnsi="Times New Roman"/>
        </w:rPr>
        <w:t xml:space="preserve"> 24 </w:t>
      </w:r>
      <w:r>
        <w:rPr>
          <w:rFonts w:ascii="Times New Roman" w:eastAsia="宋体" w:hAnsi="Times New Roman"/>
        </w:rPr>
        <w:t>人，专业型硕士研究生导师</w:t>
      </w:r>
      <w:r>
        <w:rPr>
          <w:rFonts w:ascii="Times New Roman" w:eastAsia="宋体" w:hAnsi="Times New Roman"/>
        </w:rPr>
        <w:t xml:space="preserve"> 36 </w:t>
      </w:r>
      <w:r>
        <w:rPr>
          <w:rFonts w:ascii="Times New Roman" w:eastAsia="宋体" w:hAnsi="Times New Roman"/>
        </w:rPr>
        <w:t>人；全国先进会计工作者</w:t>
      </w:r>
      <w:r>
        <w:rPr>
          <w:rFonts w:ascii="Times New Roman" w:eastAsia="宋体" w:hAnsi="Times New Roman"/>
        </w:rPr>
        <w:t>1</w:t>
      </w:r>
      <w:r>
        <w:rPr>
          <w:rFonts w:ascii="Times New Roman" w:eastAsia="宋体" w:hAnsi="Times New Roman"/>
        </w:rPr>
        <w:t>人，全国会计领军人才特支计划入选者</w:t>
      </w:r>
      <w:r>
        <w:rPr>
          <w:rFonts w:ascii="Times New Roman" w:eastAsia="宋体" w:hAnsi="Times New Roman"/>
        </w:rPr>
        <w:t>1</w:t>
      </w:r>
      <w:r>
        <w:rPr>
          <w:rFonts w:ascii="Times New Roman" w:eastAsia="宋体" w:hAnsi="Times New Roman"/>
        </w:rPr>
        <w:t>人，全国高端会计人才</w:t>
      </w:r>
      <w:r>
        <w:rPr>
          <w:rFonts w:ascii="Times New Roman" w:eastAsia="宋体" w:hAnsi="Times New Roman"/>
        </w:rPr>
        <w:t>4</w:t>
      </w:r>
      <w:r>
        <w:rPr>
          <w:rFonts w:ascii="Times New Roman" w:eastAsia="宋体" w:hAnsi="Times New Roman"/>
        </w:rPr>
        <w:t>人，广东省高端会计人才</w:t>
      </w:r>
      <w:r>
        <w:rPr>
          <w:rFonts w:ascii="Times New Roman" w:eastAsia="宋体" w:hAnsi="Times New Roman"/>
        </w:rPr>
        <w:t>3</w:t>
      </w:r>
      <w:r>
        <w:rPr>
          <w:rFonts w:ascii="Times New Roman" w:eastAsia="宋体" w:hAnsi="Times New Roman"/>
        </w:rPr>
        <w:t>人，广东省高校优秀青年教师培养对象</w:t>
      </w:r>
      <w:r>
        <w:rPr>
          <w:rFonts w:ascii="Times New Roman" w:eastAsia="宋体" w:hAnsi="Times New Roman"/>
        </w:rPr>
        <w:t>4</w:t>
      </w:r>
      <w:r>
        <w:rPr>
          <w:rFonts w:ascii="Times New Roman" w:eastAsia="宋体" w:hAnsi="Times New Roman"/>
        </w:rPr>
        <w:t>人，广东省</w:t>
      </w:r>
      <w:r>
        <w:rPr>
          <w:rFonts w:ascii="Times New Roman" w:eastAsia="宋体" w:hAnsi="Times New Roman" w:hint="eastAsia"/>
        </w:rPr>
        <w:t>“</w:t>
      </w:r>
      <w:r>
        <w:rPr>
          <w:rFonts w:ascii="Times New Roman" w:eastAsia="宋体" w:hAnsi="Times New Roman"/>
        </w:rPr>
        <w:t>千百十工程</w:t>
      </w:r>
      <w:r>
        <w:rPr>
          <w:rFonts w:ascii="Times New Roman" w:eastAsia="宋体" w:hAnsi="Times New Roman" w:hint="eastAsia"/>
        </w:rPr>
        <w:t>”</w:t>
      </w:r>
      <w:r>
        <w:rPr>
          <w:rFonts w:ascii="Times New Roman" w:eastAsia="宋体" w:hAnsi="Times New Roman"/>
        </w:rPr>
        <w:t>培养对象</w:t>
      </w:r>
      <w:r>
        <w:rPr>
          <w:rFonts w:ascii="Times New Roman" w:eastAsia="宋体" w:hAnsi="Times New Roman"/>
        </w:rPr>
        <w:t>8</w:t>
      </w:r>
      <w:r>
        <w:rPr>
          <w:rFonts w:ascii="Times New Roman" w:eastAsia="宋体" w:hAnsi="Times New Roman"/>
        </w:rPr>
        <w:t>人；学院聘任研究生校外实践导师共</w:t>
      </w:r>
      <w:r>
        <w:rPr>
          <w:rFonts w:ascii="Times New Roman" w:eastAsia="宋体" w:hAnsi="Times New Roman"/>
        </w:rPr>
        <w:t xml:space="preserve"> 124</w:t>
      </w:r>
      <w:r>
        <w:rPr>
          <w:rFonts w:ascii="Times New Roman" w:eastAsia="宋体" w:hAnsi="Times New Roman"/>
        </w:rPr>
        <w:t>人。</w:t>
      </w:r>
      <w:r>
        <w:rPr>
          <w:rFonts w:ascii="宋体" w:hAnsi="宋体" w:cs="宋体" w:hint="eastAsia"/>
        </w:rPr>
        <w:t>近</w:t>
      </w:r>
      <w:r>
        <w:rPr>
          <w:rFonts w:ascii="宋体" w:hAnsi="宋体" w:cs="宋体" w:hint="eastAsia"/>
        </w:rPr>
        <w:t>5</w:t>
      </w:r>
      <w:r>
        <w:rPr>
          <w:rFonts w:ascii="宋体" w:hAnsi="宋体" w:cs="宋体" w:hint="eastAsia"/>
        </w:rPr>
        <w:t>年，</w:t>
      </w:r>
      <w:r>
        <w:rPr>
          <w:rFonts w:ascii="宋体" w:hAnsi="宋体" w:cs="宋体" w:hint="eastAsia"/>
        </w:rPr>
        <w:t>本学科点</w:t>
      </w:r>
      <w:r>
        <w:rPr>
          <w:rFonts w:ascii="宋体" w:hAnsi="宋体" w:cs="宋体" w:hint="eastAsia"/>
        </w:rPr>
        <w:t>承担国家级科研项目</w:t>
      </w:r>
      <w:r>
        <w:rPr>
          <w:rFonts w:ascii="宋体" w:hAnsi="宋体" w:cs="宋体" w:hint="eastAsia"/>
        </w:rPr>
        <w:t>10</w:t>
      </w:r>
      <w:r>
        <w:rPr>
          <w:rFonts w:ascii="宋体" w:hAnsi="宋体" w:cs="宋体" w:hint="eastAsia"/>
        </w:rPr>
        <w:t>项、省部级科研项目</w:t>
      </w:r>
      <w:r>
        <w:rPr>
          <w:rFonts w:ascii="宋体" w:hAnsi="宋体" w:cs="宋体" w:hint="eastAsia"/>
        </w:rPr>
        <w:t>18</w:t>
      </w:r>
      <w:r>
        <w:rPr>
          <w:rFonts w:ascii="宋体" w:hAnsi="宋体" w:cs="宋体" w:hint="eastAsia"/>
        </w:rPr>
        <w:t>项，横向课题</w:t>
      </w:r>
      <w:r>
        <w:rPr>
          <w:rFonts w:ascii="宋体" w:hAnsi="宋体" w:cs="宋体" w:hint="eastAsia"/>
        </w:rPr>
        <w:t>30</w:t>
      </w:r>
      <w:r>
        <w:rPr>
          <w:rFonts w:ascii="宋体" w:hAnsi="宋体" w:cs="宋体" w:hint="eastAsia"/>
        </w:rPr>
        <w:t>项，科研经费共计</w:t>
      </w:r>
      <w:r>
        <w:rPr>
          <w:rFonts w:ascii="宋体" w:hAnsi="宋体" w:cs="宋体" w:hint="eastAsia"/>
        </w:rPr>
        <w:t>714.56</w:t>
      </w:r>
      <w:r>
        <w:rPr>
          <w:rFonts w:ascii="宋体" w:hAnsi="宋体" w:cs="宋体" w:hint="eastAsia"/>
        </w:rPr>
        <w:t>万元，在</w:t>
      </w:r>
      <w:r>
        <w:rPr>
          <w:rFonts w:ascii="宋体" w:hAnsi="宋体" w:cs="宋体" w:hint="eastAsia"/>
        </w:rPr>
        <w:t>B</w:t>
      </w:r>
      <w:r>
        <w:rPr>
          <w:rFonts w:ascii="宋体" w:hAnsi="宋体" w:cs="宋体" w:hint="eastAsia"/>
        </w:rPr>
        <w:t>类及以上权威期刊发表学术论文</w:t>
      </w:r>
      <w:r>
        <w:rPr>
          <w:rFonts w:ascii="宋体" w:hAnsi="宋体" w:cs="宋体" w:hint="eastAsia"/>
        </w:rPr>
        <w:t>57</w:t>
      </w:r>
      <w:r>
        <w:rPr>
          <w:rFonts w:ascii="宋体" w:hAnsi="宋体" w:cs="宋体" w:hint="eastAsia"/>
        </w:rPr>
        <w:t>篇，获省部级以上优秀成果奖</w:t>
      </w:r>
      <w:r>
        <w:rPr>
          <w:rFonts w:ascii="宋体" w:hAnsi="宋体" w:cs="宋体" w:hint="eastAsia"/>
        </w:rPr>
        <w:t>5</w:t>
      </w:r>
      <w:r>
        <w:rPr>
          <w:rFonts w:ascii="宋体" w:hAnsi="宋体" w:cs="宋体" w:hint="eastAsia"/>
        </w:rPr>
        <w:t>项。</w:t>
      </w:r>
      <w:r>
        <w:rPr>
          <w:rFonts w:asciiTheme="minorEastAsia" w:hAnsiTheme="minorEastAsia" w:cstheme="minorEastAsia" w:hint="eastAsia"/>
        </w:rPr>
        <w:t>2007</w:t>
      </w:r>
      <w:r>
        <w:rPr>
          <w:rFonts w:asciiTheme="minorEastAsia" w:hAnsiTheme="minorEastAsia" w:cstheme="minorEastAsia" w:hint="eastAsia"/>
        </w:rPr>
        <w:t>年开始招收会计学学术型研究生，</w:t>
      </w:r>
      <w:r>
        <w:rPr>
          <w:rFonts w:asciiTheme="minorEastAsia" w:hAnsiTheme="minorEastAsia" w:cstheme="minorEastAsia" w:hint="eastAsia"/>
        </w:rPr>
        <w:t>2015</w:t>
      </w:r>
      <w:r>
        <w:rPr>
          <w:rFonts w:asciiTheme="minorEastAsia" w:hAnsiTheme="minorEastAsia" w:cstheme="minorEastAsia" w:hint="eastAsia"/>
        </w:rPr>
        <w:t>年开始招收会计硕士专业学位研究生</w:t>
      </w:r>
      <w:r>
        <w:rPr>
          <w:rFonts w:asciiTheme="minorEastAsia" w:hAnsiTheme="minorEastAsia" w:cstheme="minorEastAsia" w:hint="eastAsia"/>
        </w:rPr>
        <w:t>,2019</w:t>
      </w:r>
      <w:r>
        <w:rPr>
          <w:rFonts w:asciiTheme="minorEastAsia" w:hAnsiTheme="minorEastAsia" w:cstheme="minorEastAsia" w:hint="eastAsia"/>
        </w:rPr>
        <w:t>年开始招收审计硕士专业学位研究生。</w:t>
      </w:r>
      <w:r>
        <w:rPr>
          <w:rFonts w:ascii="Times New Roman" w:hAnsi="Times New Roman"/>
        </w:rPr>
        <w:t>2015</w:t>
      </w:r>
      <w:r>
        <w:rPr>
          <w:rFonts w:ascii="Times New Roman" w:hAnsi="Times New Roman"/>
        </w:rPr>
        <w:t>年至今，会计学</w:t>
      </w:r>
      <w:r>
        <w:rPr>
          <w:rFonts w:ascii="Times New Roman" w:hAnsi="Times New Roman" w:hint="eastAsia"/>
        </w:rPr>
        <w:t>硕士</w:t>
      </w:r>
      <w:r>
        <w:rPr>
          <w:rFonts w:ascii="Times New Roman" w:hAnsi="Times New Roman"/>
        </w:rPr>
        <w:t>、会计硕士</w:t>
      </w:r>
      <w:r>
        <w:rPr>
          <w:rFonts w:ascii="Times New Roman" w:hAnsi="Times New Roman" w:hint="eastAsia"/>
        </w:rPr>
        <w:t>、</w:t>
      </w:r>
      <w:r>
        <w:rPr>
          <w:rFonts w:ascii="Times New Roman" w:hAnsi="Times New Roman" w:hint="eastAsia"/>
        </w:rPr>
        <w:t>审计硕士</w:t>
      </w:r>
      <w:r>
        <w:rPr>
          <w:rFonts w:ascii="Times New Roman" w:hAnsi="Times New Roman"/>
        </w:rPr>
        <w:t>专业已有共计</w:t>
      </w:r>
      <w:r>
        <w:rPr>
          <w:rFonts w:ascii="Times New Roman" w:hAnsi="Times New Roman" w:hint="eastAsia"/>
        </w:rPr>
        <w:t>619</w:t>
      </w:r>
      <w:r>
        <w:rPr>
          <w:rFonts w:ascii="Times New Roman" w:hAnsi="Times New Roman"/>
        </w:rPr>
        <w:t>位同学取得硕士学位</w:t>
      </w:r>
      <w:r>
        <w:rPr>
          <w:rFonts w:asciiTheme="minorEastAsia" w:hAnsiTheme="minorEastAsia" w:cstheme="minorEastAsia" w:hint="eastAsia"/>
        </w:rPr>
        <w:t>，毕业生就业率和就业质量名列前茅。</w:t>
      </w:r>
      <w:r>
        <w:rPr>
          <w:rFonts w:asciiTheme="minorEastAsia" w:hAnsiTheme="minorEastAsia" w:cstheme="minorEastAsia" w:hint="eastAsia"/>
        </w:rPr>
        <w:t>请考生注意，本专业在研究生院佛山分院也有招生，根据上级有关规定，研究生院佛山分院与广州校区相同的专业初试进入复试划定相同分数线。研究生院佛山分院各专业的招生计划单独下达，复试单独组织，录取单独进行。</w:t>
      </w:r>
    </w:p>
    <w:p w:rsidR="000D01C3" w:rsidRDefault="00A85936">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培养目标：</w:t>
      </w:r>
      <w:r>
        <w:rPr>
          <w:rFonts w:asciiTheme="minorEastAsia" w:hAnsiTheme="minorEastAsia" w:cstheme="minorEastAsia" w:hint="eastAsia"/>
        </w:rPr>
        <w:t>培养具有国际视野、战略思维和市场意识，具备优良的政治素质、职业道德、人文素养和外语能力，具有良好发现问题、分析问题与解决问题能力，具有深厚会计、财务、审计专业理论功底和实践能力的高级专业人才。</w:t>
      </w:r>
    </w:p>
    <w:p w:rsidR="000D01C3" w:rsidRDefault="00A85936">
      <w:pPr>
        <w:widowControl/>
        <w:autoSpaceDE w:val="0"/>
        <w:autoSpaceDN w:val="0"/>
        <w:adjustRightInd w:val="0"/>
        <w:spacing w:line="360" w:lineRule="auto"/>
        <w:rPr>
          <w:rFonts w:asciiTheme="minorEastAsia" w:hAnsiTheme="minorEastAsia" w:cstheme="minorEastAsia"/>
          <w:kern w:val="0"/>
          <w:sz w:val="24"/>
        </w:rPr>
      </w:pPr>
      <w:r>
        <w:rPr>
          <w:rStyle w:val="a7"/>
          <w:rFonts w:asciiTheme="minorEastAsia" w:hAnsiTheme="minorEastAsia" w:cstheme="minorEastAsia" w:hint="eastAsia"/>
          <w:sz w:val="24"/>
        </w:rPr>
        <w:t>主要课程：</w:t>
      </w:r>
      <w:r>
        <w:rPr>
          <w:rFonts w:asciiTheme="minorEastAsia" w:hAnsiTheme="minorEastAsia" w:cstheme="minorEastAsia" w:hint="eastAsia"/>
          <w:kern w:val="0"/>
          <w:sz w:val="24"/>
        </w:rPr>
        <w:t>高级财务会计理论与实务、高级财务管理理论与实务、高级管理会计理论与实务、高级审计理论与实务、大数据</w:t>
      </w:r>
      <w:r>
        <w:rPr>
          <w:rFonts w:asciiTheme="minorEastAsia" w:hAnsiTheme="minorEastAsia" w:cstheme="minorEastAsia" w:hint="eastAsia"/>
          <w:kern w:val="0"/>
          <w:sz w:val="24"/>
        </w:rPr>
        <w:t>与财务决策、会计与管理信息系统、信息系统审计、财务报告分析、商业伦理与会计职业道德、内部控制理论与实务、管理审计与管理咨询、跨国公司财务管理、业绩评价与激励机制、企业税收筹划、国际金融、企业并购等。</w:t>
      </w:r>
    </w:p>
    <w:p w:rsidR="000D01C3" w:rsidRDefault="00A85936">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就业方向：</w:t>
      </w:r>
      <w:r>
        <w:rPr>
          <w:rFonts w:asciiTheme="minorEastAsia" w:hAnsiTheme="minorEastAsia" w:cstheme="minorEastAsia" w:hint="eastAsia"/>
        </w:rPr>
        <w:t>为行政事业单位、非营利性组织、上市公司、大型跨国公司、会计师事务所等企业组织培养具有国际视野和战略思维能力的高级会计人员、高级</w:t>
      </w:r>
      <w:bookmarkStart w:id="0" w:name="_GoBack"/>
      <w:bookmarkEnd w:id="0"/>
      <w:r>
        <w:rPr>
          <w:rFonts w:asciiTheme="minorEastAsia" w:hAnsiTheme="minorEastAsia" w:cstheme="minorEastAsia" w:hint="eastAsia"/>
        </w:rPr>
        <w:t>财务管理人员和注册会计师。</w:t>
      </w:r>
    </w:p>
    <w:p w:rsidR="000D01C3" w:rsidRDefault="00A85936">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研究方向：</w:t>
      </w:r>
      <w:r>
        <w:rPr>
          <w:rFonts w:asciiTheme="minorEastAsia" w:hAnsiTheme="minorEastAsia" w:cstheme="minorEastAsia" w:hint="eastAsia"/>
        </w:rPr>
        <w:t>资本运营与财务管理、审计鉴证与管理咨询、管理会计与风险控制、大数据会计。</w:t>
      </w:r>
    </w:p>
    <w:p w:rsidR="000D01C3" w:rsidRDefault="00A85936">
      <w:pPr>
        <w:widowControl/>
        <w:spacing w:line="360" w:lineRule="auto"/>
        <w:jc w:val="center"/>
        <w:rPr>
          <w:rFonts w:asciiTheme="minorEastAsia" w:hAnsiTheme="minorEastAsia" w:cstheme="minorEastAsia"/>
          <w:b/>
          <w:sz w:val="24"/>
        </w:rPr>
      </w:pPr>
      <w:r>
        <w:rPr>
          <w:rFonts w:asciiTheme="minorEastAsia" w:hAnsiTheme="minorEastAsia" w:cstheme="minorEastAsia" w:hint="eastAsia"/>
          <w:b/>
          <w:kern w:val="0"/>
          <w:sz w:val="24"/>
        </w:rPr>
        <w:lastRenderedPageBreak/>
        <w:t>会计硕士考试大纲</w:t>
      </w:r>
    </w:p>
    <w:p w:rsidR="000D01C3" w:rsidRDefault="00A85936">
      <w:pPr>
        <w:widowControl/>
        <w:spacing w:line="360" w:lineRule="auto"/>
        <w:jc w:val="left"/>
        <w:rPr>
          <w:rFonts w:asciiTheme="minorEastAsia" w:hAnsiTheme="minorEastAsia" w:cstheme="minorEastAsia"/>
          <w:sz w:val="24"/>
        </w:rPr>
      </w:pPr>
      <w:r>
        <w:rPr>
          <w:rFonts w:asciiTheme="minorEastAsia" w:hAnsiTheme="minorEastAsia" w:cstheme="minorEastAsia" w:hint="eastAsia"/>
          <w:kern w:val="0"/>
          <w:sz w:val="24"/>
        </w:rPr>
        <w:t>  </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专业代码：</w:t>
      </w:r>
      <w:r>
        <w:rPr>
          <w:rStyle w:val="a7"/>
          <w:rFonts w:asciiTheme="minorEastAsia" w:hAnsiTheme="minorEastAsia" w:cstheme="minorEastAsia" w:hint="eastAsia"/>
        </w:rPr>
        <w:t xml:space="preserve">125300 </w:t>
      </w:r>
      <w:r>
        <w:rPr>
          <w:rStyle w:val="a7"/>
          <w:rFonts w:asciiTheme="minorEastAsia" w:hAnsiTheme="minorEastAsia" w:cstheme="minorEastAsia" w:hint="eastAsia"/>
        </w:rPr>
        <w:t>；</w:t>
      </w:r>
      <w:r>
        <w:rPr>
          <w:rStyle w:val="a7"/>
          <w:rFonts w:asciiTheme="minorEastAsia" w:hAnsiTheme="minorEastAsia" w:cstheme="minorEastAsia" w:hint="eastAsia"/>
        </w:rPr>
        <w:t>       </w:t>
      </w:r>
      <w:r>
        <w:rPr>
          <w:rStyle w:val="a7"/>
          <w:rFonts w:asciiTheme="minorEastAsia" w:hAnsiTheme="minorEastAsia" w:cstheme="minorEastAsia" w:hint="eastAsia"/>
        </w:rPr>
        <w:t xml:space="preserve">   </w:t>
      </w:r>
      <w:r>
        <w:rPr>
          <w:rStyle w:val="a7"/>
          <w:rFonts w:asciiTheme="minorEastAsia" w:hAnsiTheme="minorEastAsia" w:cstheme="minorEastAsia" w:hint="eastAsia"/>
        </w:rPr>
        <w:t>咨询电话：</w:t>
      </w:r>
      <w:r>
        <w:rPr>
          <w:rStyle w:val="a7"/>
          <w:rFonts w:asciiTheme="minorEastAsia" w:hAnsiTheme="minorEastAsia" w:cstheme="minorEastAsia" w:hint="eastAsia"/>
        </w:rPr>
        <w:t xml:space="preserve"> 020-84222959</w:t>
      </w:r>
      <w:r>
        <w:rPr>
          <w:rStyle w:val="a7"/>
          <w:rFonts w:asciiTheme="minorEastAsia" w:hAnsiTheme="minorEastAsia" w:cstheme="minorEastAsia" w:hint="eastAsia"/>
        </w:rPr>
        <w:t>；</w:t>
      </w:r>
    </w:p>
    <w:tbl>
      <w:tblPr>
        <w:tblW w:w="8504" w:type="dxa"/>
        <w:tblCellSpacing w:w="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3"/>
        <w:gridCol w:w="3066"/>
        <w:gridCol w:w="2547"/>
        <w:gridCol w:w="2208"/>
      </w:tblGrid>
      <w:tr w:rsidR="000D01C3">
        <w:trPr>
          <w:trHeight w:val="1134"/>
          <w:tblCellSpacing w:w="0" w:type="dxa"/>
        </w:trPr>
        <w:tc>
          <w:tcPr>
            <w:tcW w:w="683"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序号</w:t>
            </w:r>
          </w:p>
        </w:tc>
        <w:tc>
          <w:tcPr>
            <w:tcW w:w="3066"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研究方向</w:t>
            </w:r>
          </w:p>
        </w:tc>
        <w:tc>
          <w:tcPr>
            <w:tcW w:w="2547"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初试科目</w:t>
            </w:r>
          </w:p>
        </w:tc>
        <w:tc>
          <w:tcPr>
            <w:tcW w:w="2208"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复试科目</w:t>
            </w:r>
          </w:p>
        </w:tc>
      </w:tr>
      <w:tr w:rsidR="000D01C3">
        <w:trPr>
          <w:trHeight w:val="1134"/>
          <w:tblCellSpacing w:w="0" w:type="dxa"/>
        </w:trPr>
        <w:tc>
          <w:tcPr>
            <w:tcW w:w="683"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1</w:t>
            </w:r>
          </w:p>
        </w:tc>
        <w:tc>
          <w:tcPr>
            <w:tcW w:w="3066"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资本运营与财务管理</w:t>
            </w:r>
          </w:p>
        </w:tc>
        <w:tc>
          <w:tcPr>
            <w:tcW w:w="2547" w:type="dxa"/>
            <w:vMerge w:val="restart"/>
            <w:shd w:val="clear" w:color="auto" w:fill="auto"/>
            <w:vAlign w:val="center"/>
          </w:tcPr>
          <w:p w:rsidR="000D01C3" w:rsidRDefault="00A85936">
            <w:pPr>
              <w:snapToGrid w:val="0"/>
              <w:spacing w:line="520" w:lineRule="exact"/>
              <w:rPr>
                <w:rFonts w:eastAsia="宋体"/>
                <w:sz w:val="24"/>
              </w:rPr>
            </w:pPr>
            <w:r>
              <w:rPr>
                <w:rFonts w:eastAsia="宋体" w:hint="eastAsia"/>
                <w:sz w:val="24"/>
              </w:rPr>
              <w:t>（</w:t>
            </w:r>
            <w:r>
              <w:rPr>
                <w:rFonts w:eastAsia="宋体"/>
                <w:sz w:val="24"/>
              </w:rPr>
              <w:t>1</w:t>
            </w:r>
            <w:r>
              <w:rPr>
                <w:rFonts w:eastAsia="宋体" w:hint="eastAsia"/>
                <w:sz w:val="24"/>
              </w:rPr>
              <w:t>）</w:t>
            </w:r>
            <w:r>
              <w:rPr>
                <w:rFonts w:eastAsia="宋体"/>
                <w:sz w:val="24"/>
              </w:rPr>
              <w:t>▲</w:t>
            </w:r>
            <w:r>
              <w:rPr>
                <w:rFonts w:eastAsia="宋体"/>
                <w:sz w:val="24"/>
              </w:rPr>
              <w:t>管理类联考综合能力</w:t>
            </w:r>
            <w:r>
              <w:rPr>
                <w:rFonts w:eastAsia="宋体" w:hint="eastAsia"/>
                <w:sz w:val="24"/>
              </w:rPr>
              <w:t>（</w:t>
            </w:r>
            <w:r>
              <w:rPr>
                <w:rFonts w:eastAsia="宋体" w:hint="eastAsia"/>
                <w:sz w:val="24"/>
              </w:rPr>
              <w:t>200</w:t>
            </w:r>
            <w:r>
              <w:rPr>
                <w:rFonts w:eastAsia="宋体" w:hint="eastAsia"/>
                <w:sz w:val="24"/>
              </w:rPr>
              <w:t>分）</w:t>
            </w:r>
          </w:p>
          <w:p w:rsidR="000D01C3" w:rsidRDefault="00A85936">
            <w:pPr>
              <w:pStyle w:val="a6"/>
              <w:widowControl/>
              <w:spacing w:beforeAutospacing="0" w:afterAutospacing="0" w:line="360" w:lineRule="auto"/>
              <w:jc w:val="both"/>
              <w:rPr>
                <w:rFonts w:asciiTheme="minorEastAsia" w:hAnsiTheme="minorEastAsia" w:cstheme="minorEastAsia"/>
              </w:rPr>
            </w:pPr>
            <w:r>
              <w:rPr>
                <w:rFonts w:eastAsia="宋体" w:hint="eastAsia"/>
              </w:rPr>
              <w:t>（</w:t>
            </w:r>
            <w:r>
              <w:rPr>
                <w:rFonts w:eastAsia="宋体"/>
              </w:rPr>
              <w:t>2</w:t>
            </w:r>
            <w:r>
              <w:rPr>
                <w:rFonts w:eastAsia="宋体" w:hint="eastAsia"/>
              </w:rPr>
              <w:t>）</w:t>
            </w:r>
            <w:r>
              <w:rPr>
                <w:rFonts w:eastAsia="宋体"/>
              </w:rPr>
              <w:t>▲</w:t>
            </w:r>
            <w:r>
              <w:rPr>
                <w:rFonts w:eastAsia="宋体"/>
              </w:rPr>
              <w:t>英语二</w:t>
            </w:r>
            <w:r>
              <w:rPr>
                <w:rFonts w:eastAsia="宋体" w:hint="eastAsia"/>
              </w:rPr>
              <w:t>（</w:t>
            </w:r>
            <w:r>
              <w:rPr>
                <w:rFonts w:eastAsia="宋体" w:hint="eastAsia"/>
              </w:rPr>
              <w:t>100</w:t>
            </w:r>
            <w:r>
              <w:rPr>
                <w:rFonts w:eastAsia="宋体" w:hint="eastAsia"/>
              </w:rPr>
              <w:t>分）</w:t>
            </w:r>
          </w:p>
        </w:tc>
        <w:tc>
          <w:tcPr>
            <w:tcW w:w="2208" w:type="dxa"/>
            <w:vMerge w:val="restart"/>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F536-</w:t>
            </w:r>
            <w:r>
              <w:rPr>
                <w:rFonts w:asciiTheme="minorEastAsia" w:hAnsiTheme="minorEastAsia" w:cstheme="minorEastAsia" w:hint="eastAsia"/>
              </w:rPr>
              <w:t>会计综合知识（</w:t>
            </w:r>
            <w:r>
              <w:rPr>
                <w:rFonts w:asciiTheme="minorEastAsia" w:hAnsiTheme="minorEastAsia" w:cstheme="minorEastAsia" w:hint="eastAsia"/>
              </w:rPr>
              <w:t>100</w:t>
            </w:r>
            <w:r>
              <w:rPr>
                <w:rFonts w:asciiTheme="minorEastAsia" w:hAnsiTheme="minorEastAsia" w:cstheme="minorEastAsia" w:hint="eastAsia"/>
              </w:rPr>
              <w:t>分）</w:t>
            </w:r>
          </w:p>
        </w:tc>
      </w:tr>
      <w:tr w:rsidR="000D01C3">
        <w:trPr>
          <w:trHeight w:val="1134"/>
          <w:tblCellSpacing w:w="0" w:type="dxa"/>
        </w:trPr>
        <w:tc>
          <w:tcPr>
            <w:tcW w:w="683"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2</w:t>
            </w:r>
          </w:p>
        </w:tc>
        <w:tc>
          <w:tcPr>
            <w:tcW w:w="3066"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审计鉴证与管理咨询</w:t>
            </w:r>
          </w:p>
        </w:tc>
        <w:tc>
          <w:tcPr>
            <w:tcW w:w="2547" w:type="dxa"/>
            <w:vMerge/>
            <w:shd w:val="clear" w:color="auto" w:fill="auto"/>
            <w:vAlign w:val="center"/>
          </w:tcPr>
          <w:p w:rsidR="000D01C3" w:rsidRDefault="000D01C3">
            <w:pPr>
              <w:pStyle w:val="a6"/>
              <w:widowControl/>
              <w:spacing w:beforeAutospacing="0" w:afterAutospacing="0" w:line="360" w:lineRule="auto"/>
              <w:rPr>
                <w:rFonts w:asciiTheme="minorEastAsia" w:hAnsiTheme="minorEastAsia" w:cstheme="minorEastAsia"/>
              </w:rPr>
            </w:pPr>
          </w:p>
        </w:tc>
        <w:tc>
          <w:tcPr>
            <w:tcW w:w="2208" w:type="dxa"/>
            <w:vMerge/>
            <w:shd w:val="clear" w:color="auto" w:fill="auto"/>
            <w:vAlign w:val="center"/>
          </w:tcPr>
          <w:p w:rsidR="000D01C3" w:rsidRDefault="000D01C3">
            <w:pPr>
              <w:pStyle w:val="a6"/>
              <w:widowControl/>
              <w:spacing w:beforeAutospacing="0" w:afterAutospacing="0" w:line="360" w:lineRule="auto"/>
              <w:rPr>
                <w:rFonts w:asciiTheme="minorEastAsia" w:hAnsiTheme="minorEastAsia" w:cstheme="minorEastAsia"/>
              </w:rPr>
            </w:pPr>
          </w:p>
        </w:tc>
      </w:tr>
      <w:tr w:rsidR="000D01C3">
        <w:trPr>
          <w:trHeight w:val="1134"/>
          <w:tblCellSpacing w:w="0" w:type="dxa"/>
        </w:trPr>
        <w:tc>
          <w:tcPr>
            <w:tcW w:w="683"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3</w:t>
            </w:r>
          </w:p>
        </w:tc>
        <w:tc>
          <w:tcPr>
            <w:tcW w:w="3066"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管理会计与风险控制</w:t>
            </w:r>
          </w:p>
        </w:tc>
        <w:tc>
          <w:tcPr>
            <w:tcW w:w="2547" w:type="dxa"/>
            <w:vMerge/>
            <w:shd w:val="clear" w:color="auto" w:fill="auto"/>
            <w:vAlign w:val="center"/>
          </w:tcPr>
          <w:p w:rsidR="000D01C3" w:rsidRDefault="000D01C3">
            <w:pPr>
              <w:spacing w:line="360" w:lineRule="auto"/>
              <w:rPr>
                <w:rFonts w:asciiTheme="minorEastAsia" w:hAnsiTheme="minorEastAsia" w:cstheme="minorEastAsia"/>
                <w:sz w:val="24"/>
              </w:rPr>
            </w:pPr>
          </w:p>
        </w:tc>
        <w:tc>
          <w:tcPr>
            <w:tcW w:w="2208" w:type="dxa"/>
            <w:vMerge/>
            <w:shd w:val="clear" w:color="auto" w:fill="auto"/>
            <w:vAlign w:val="center"/>
          </w:tcPr>
          <w:p w:rsidR="000D01C3" w:rsidRDefault="000D01C3">
            <w:pPr>
              <w:spacing w:line="360" w:lineRule="auto"/>
              <w:rPr>
                <w:rFonts w:asciiTheme="minorEastAsia" w:hAnsiTheme="minorEastAsia" w:cstheme="minorEastAsia"/>
                <w:sz w:val="24"/>
              </w:rPr>
            </w:pPr>
          </w:p>
        </w:tc>
      </w:tr>
      <w:tr w:rsidR="000D01C3">
        <w:trPr>
          <w:trHeight w:val="1134"/>
          <w:tblCellSpacing w:w="0" w:type="dxa"/>
        </w:trPr>
        <w:tc>
          <w:tcPr>
            <w:tcW w:w="683"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4</w:t>
            </w:r>
          </w:p>
        </w:tc>
        <w:tc>
          <w:tcPr>
            <w:tcW w:w="3066" w:type="dxa"/>
            <w:shd w:val="clear" w:color="auto" w:fill="auto"/>
            <w:vAlign w:val="center"/>
          </w:tcPr>
          <w:p w:rsidR="000D01C3" w:rsidRDefault="00A85936">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大数据会计</w:t>
            </w:r>
          </w:p>
          <w:p w:rsidR="000D01C3" w:rsidRDefault="000D01C3">
            <w:pPr>
              <w:pStyle w:val="a6"/>
              <w:widowControl/>
              <w:spacing w:beforeAutospacing="0" w:afterAutospacing="0" w:line="360" w:lineRule="auto"/>
              <w:jc w:val="center"/>
              <w:rPr>
                <w:rFonts w:asciiTheme="minorEastAsia" w:hAnsiTheme="minorEastAsia" w:cstheme="minorEastAsia"/>
              </w:rPr>
            </w:pPr>
          </w:p>
        </w:tc>
        <w:tc>
          <w:tcPr>
            <w:tcW w:w="2547" w:type="dxa"/>
            <w:vMerge/>
            <w:shd w:val="clear" w:color="auto" w:fill="auto"/>
            <w:vAlign w:val="center"/>
          </w:tcPr>
          <w:p w:rsidR="000D01C3" w:rsidRDefault="000D01C3">
            <w:pPr>
              <w:spacing w:line="360" w:lineRule="auto"/>
              <w:rPr>
                <w:rFonts w:asciiTheme="minorEastAsia" w:hAnsiTheme="minorEastAsia" w:cstheme="minorEastAsia"/>
                <w:sz w:val="24"/>
              </w:rPr>
            </w:pPr>
          </w:p>
        </w:tc>
        <w:tc>
          <w:tcPr>
            <w:tcW w:w="2208" w:type="dxa"/>
            <w:vMerge/>
            <w:shd w:val="clear" w:color="auto" w:fill="auto"/>
            <w:vAlign w:val="center"/>
          </w:tcPr>
          <w:p w:rsidR="000D01C3" w:rsidRDefault="000D01C3">
            <w:pPr>
              <w:spacing w:line="360" w:lineRule="auto"/>
              <w:rPr>
                <w:rFonts w:asciiTheme="minorEastAsia" w:hAnsiTheme="minorEastAsia" w:cstheme="minorEastAsia"/>
                <w:sz w:val="24"/>
              </w:rPr>
            </w:pPr>
          </w:p>
        </w:tc>
      </w:tr>
    </w:tbl>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▲表示统考科目或联考科目，考试题型、考试大纲以教育部公布为准。其他为自命题科目。</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考试题型及相应分值：</w:t>
      </w:r>
    </w:p>
    <w:p w:rsidR="000D01C3" w:rsidRDefault="00A85936">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rPr>
        <w:t>1.</w:t>
      </w:r>
      <w:r>
        <w:rPr>
          <w:rStyle w:val="a7"/>
          <w:rFonts w:asciiTheme="minorEastAsia" w:hAnsiTheme="minorEastAsia" w:cstheme="minorEastAsia" w:hint="eastAsia"/>
        </w:rPr>
        <w:t>《会计综合知识》</w:t>
      </w:r>
    </w:p>
    <w:p w:rsidR="000D01C3" w:rsidRDefault="00A85936">
      <w:pPr>
        <w:pStyle w:val="a6"/>
        <w:widowControl/>
        <w:spacing w:beforeAutospacing="0" w:afterAutospacing="0" w:line="360" w:lineRule="auto"/>
        <w:rPr>
          <w:rStyle w:val="a7"/>
          <w:rFonts w:asciiTheme="minorEastAsia" w:hAnsiTheme="minorEastAsia" w:cstheme="minorEastAsia"/>
        </w:rPr>
      </w:pPr>
      <w:r>
        <w:rPr>
          <w:rFonts w:asciiTheme="minorEastAsia" w:hAnsiTheme="minorEastAsia" w:cstheme="minorEastAsia" w:hint="eastAsia"/>
        </w:rPr>
        <w:t>《会计综合知识》</w:t>
      </w:r>
      <w:r>
        <w:rPr>
          <w:rFonts w:asciiTheme="minorEastAsia" w:hAnsiTheme="minorEastAsia" w:cstheme="minorEastAsia" w:hint="eastAsia"/>
        </w:rPr>
        <w:t>100</w:t>
      </w:r>
      <w:r>
        <w:rPr>
          <w:rFonts w:asciiTheme="minorEastAsia" w:hAnsiTheme="minorEastAsia" w:cstheme="minorEastAsia" w:hint="eastAsia"/>
        </w:rPr>
        <w:t>分（含财务会计、管理会计、财务管理、审计）。其中：财务会计占</w:t>
      </w:r>
      <w:r>
        <w:rPr>
          <w:rFonts w:asciiTheme="minorEastAsia" w:hAnsiTheme="minorEastAsia" w:cstheme="minorEastAsia" w:hint="eastAsia"/>
        </w:rPr>
        <w:t>40%</w:t>
      </w:r>
      <w:r>
        <w:rPr>
          <w:rFonts w:asciiTheme="minorEastAsia" w:hAnsiTheme="minorEastAsia" w:cstheme="minorEastAsia" w:hint="eastAsia"/>
        </w:rPr>
        <w:t>，管理会计占</w:t>
      </w:r>
      <w:r>
        <w:rPr>
          <w:rFonts w:asciiTheme="minorEastAsia" w:hAnsiTheme="minorEastAsia" w:cstheme="minorEastAsia" w:hint="eastAsia"/>
        </w:rPr>
        <w:t>20%</w:t>
      </w:r>
      <w:r>
        <w:rPr>
          <w:rFonts w:asciiTheme="minorEastAsia" w:hAnsiTheme="minorEastAsia" w:cstheme="minorEastAsia" w:hint="eastAsia"/>
        </w:rPr>
        <w:t>，财务管理占</w:t>
      </w:r>
      <w:r>
        <w:rPr>
          <w:rFonts w:asciiTheme="minorEastAsia" w:hAnsiTheme="minorEastAsia" w:cstheme="minorEastAsia" w:hint="eastAsia"/>
        </w:rPr>
        <w:t>20%</w:t>
      </w:r>
      <w:r>
        <w:rPr>
          <w:rFonts w:asciiTheme="minorEastAsia" w:hAnsiTheme="minorEastAsia" w:cstheme="minorEastAsia" w:hint="eastAsia"/>
        </w:rPr>
        <w:t>，审计占</w:t>
      </w:r>
      <w:r>
        <w:rPr>
          <w:rFonts w:asciiTheme="minorEastAsia" w:hAnsiTheme="minorEastAsia" w:cstheme="minorEastAsia" w:hint="eastAsia"/>
        </w:rPr>
        <w:t>20%</w:t>
      </w:r>
      <w:r>
        <w:rPr>
          <w:rFonts w:asciiTheme="minorEastAsia" w:hAnsiTheme="minorEastAsia" w:cstheme="minorEastAsia" w:hint="eastAsia"/>
        </w:rPr>
        <w:t>。</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）名词解释（</w:t>
      </w:r>
      <w:r>
        <w:rPr>
          <w:rFonts w:asciiTheme="minorEastAsia" w:hAnsiTheme="minorEastAsia" w:cstheme="minorEastAsia" w:hint="eastAsia"/>
        </w:rPr>
        <w:t>5</w:t>
      </w:r>
      <w:r>
        <w:rPr>
          <w:rFonts w:asciiTheme="minorEastAsia" w:hAnsiTheme="minorEastAsia" w:cstheme="minorEastAsia" w:hint="eastAsia"/>
        </w:rPr>
        <w:t>题，每题</w:t>
      </w:r>
      <w:r>
        <w:rPr>
          <w:rFonts w:asciiTheme="minorEastAsia" w:hAnsiTheme="minorEastAsia" w:cstheme="minorEastAsia" w:hint="eastAsia"/>
        </w:rPr>
        <w:t>3</w:t>
      </w:r>
      <w:r>
        <w:rPr>
          <w:rFonts w:asciiTheme="minorEastAsia" w:hAnsiTheme="minorEastAsia" w:cstheme="minorEastAsia" w:hint="eastAsia"/>
        </w:rPr>
        <w:t>分，共</w:t>
      </w:r>
      <w:r>
        <w:rPr>
          <w:rFonts w:asciiTheme="minorEastAsia" w:hAnsiTheme="minorEastAsia" w:cstheme="minorEastAsia" w:hint="eastAsia"/>
        </w:rPr>
        <w:t>15</w:t>
      </w:r>
      <w:r>
        <w:rPr>
          <w:rFonts w:asciiTheme="minorEastAsia" w:hAnsiTheme="minorEastAsia" w:cstheme="minorEastAsia" w:hint="eastAsia"/>
        </w:rPr>
        <w:t>分）</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）简答题（</w:t>
      </w:r>
      <w:r>
        <w:rPr>
          <w:rFonts w:asciiTheme="minorEastAsia" w:hAnsiTheme="minorEastAsia" w:cstheme="minorEastAsia" w:hint="eastAsia"/>
        </w:rPr>
        <w:t>3</w:t>
      </w:r>
      <w:r>
        <w:rPr>
          <w:rFonts w:asciiTheme="minorEastAsia" w:hAnsiTheme="minorEastAsia" w:cstheme="minorEastAsia" w:hint="eastAsia"/>
        </w:rPr>
        <w:t>题，每题</w:t>
      </w:r>
      <w:r>
        <w:rPr>
          <w:rFonts w:asciiTheme="minorEastAsia" w:hAnsiTheme="minorEastAsia" w:cstheme="minorEastAsia" w:hint="eastAsia"/>
        </w:rPr>
        <w:t>5</w:t>
      </w:r>
      <w:r>
        <w:rPr>
          <w:rFonts w:asciiTheme="minorEastAsia" w:hAnsiTheme="minorEastAsia" w:cstheme="minorEastAsia" w:hint="eastAsia"/>
        </w:rPr>
        <w:t>分，共</w:t>
      </w:r>
      <w:r>
        <w:rPr>
          <w:rFonts w:asciiTheme="minorEastAsia" w:hAnsiTheme="minorEastAsia" w:cstheme="minorEastAsia" w:hint="eastAsia"/>
        </w:rPr>
        <w:t>15</w:t>
      </w:r>
      <w:r>
        <w:rPr>
          <w:rFonts w:asciiTheme="minorEastAsia" w:hAnsiTheme="minorEastAsia" w:cstheme="minorEastAsia" w:hint="eastAsia"/>
        </w:rPr>
        <w:t>分）</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）实务题（</w:t>
      </w:r>
      <w:r>
        <w:rPr>
          <w:rFonts w:asciiTheme="minorEastAsia" w:hAnsiTheme="minorEastAsia" w:cstheme="minorEastAsia" w:hint="eastAsia"/>
        </w:rPr>
        <w:t>4</w:t>
      </w:r>
      <w:r>
        <w:rPr>
          <w:rFonts w:asciiTheme="minorEastAsia" w:hAnsiTheme="minorEastAsia" w:cstheme="minorEastAsia" w:hint="eastAsia"/>
        </w:rPr>
        <w:t>题，每题</w:t>
      </w:r>
      <w:r>
        <w:rPr>
          <w:rFonts w:asciiTheme="minorEastAsia" w:hAnsiTheme="minorEastAsia" w:cstheme="minorEastAsia" w:hint="eastAsia"/>
        </w:rPr>
        <w:t>10</w:t>
      </w:r>
      <w:r>
        <w:rPr>
          <w:rFonts w:asciiTheme="minorEastAsia" w:hAnsiTheme="minorEastAsia" w:cstheme="minorEastAsia" w:hint="eastAsia"/>
        </w:rPr>
        <w:t>分，共</w:t>
      </w:r>
      <w:r>
        <w:rPr>
          <w:rFonts w:asciiTheme="minorEastAsia" w:hAnsiTheme="minorEastAsia" w:cstheme="minorEastAsia" w:hint="eastAsia"/>
        </w:rPr>
        <w:t>40</w:t>
      </w:r>
      <w:r>
        <w:rPr>
          <w:rFonts w:asciiTheme="minorEastAsia" w:hAnsiTheme="minorEastAsia" w:cstheme="minorEastAsia" w:hint="eastAsia"/>
        </w:rPr>
        <w:t>分）</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）论述题（</w:t>
      </w:r>
      <w:r>
        <w:rPr>
          <w:rFonts w:asciiTheme="minorEastAsia" w:hAnsiTheme="minorEastAsia" w:cstheme="minorEastAsia" w:hint="eastAsia"/>
        </w:rPr>
        <w:t>2</w:t>
      </w:r>
      <w:r>
        <w:rPr>
          <w:rFonts w:asciiTheme="minorEastAsia" w:hAnsiTheme="minorEastAsia" w:cstheme="minorEastAsia" w:hint="eastAsia"/>
        </w:rPr>
        <w:t>题，每题</w:t>
      </w:r>
      <w:r>
        <w:rPr>
          <w:rFonts w:asciiTheme="minorEastAsia" w:hAnsiTheme="minorEastAsia" w:cstheme="minorEastAsia" w:hint="eastAsia"/>
        </w:rPr>
        <w:t>15</w:t>
      </w:r>
      <w:r>
        <w:rPr>
          <w:rFonts w:asciiTheme="minorEastAsia" w:hAnsiTheme="minorEastAsia" w:cstheme="minorEastAsia" w:hint="eastAsia"/>
        </w:rPr>
        <w:t>分，共</w:t>
      </w:r>
      <w:r>
        <w:rPr>
          <w:rFonts w:asciiTheme="minorEastAsia" w:hAnsiTheme="minorEastAsia" w:cstheme="minorEastAsia" w:hint="eastAsia"/>
        </w:rPr>
        <w:t>30</w:t>
      </w:r>
      <w:r>
        <w:rPr>
          <w:rFonts w:asciiTheme="minorEastAsia" w:hAnsiTheme="minorEastAsia" w:cstheme="minorEastAsia" w:hint="eastAsia"/>
        </w:rPr>
        <w:t>分）</w:t>
      </w:r>
    </w:p>
    <w:p w:rsidR="000D01C3" w:rsidRDefault="000D01C3">
      <w:pPr>
        <w:pStyle w:val="a6"/>
        <w:widowControl/>
        <w:spacing w:beforeAutospacing="0" w:afterAutospacing="0" w:line="360" w:lineRule="auto"/>
        <w:rPr>
          <w:rFonts w:asciiTheme="minorEastAsia" w:hAnsiTheme="minorEastAsia" w:cstheme="minorEastAsia"/>
        </w:rPr>
      </w:pPr>
    </w:p>
    <w:p w:rsidR="000D01C3" w:rsidRDefault="00A85936">
      <w:pPr>
        <w:adjustRightInd w:val="0"/>
        <w:snapToGrid w:val="0"/>
        <w:rPr>
          <w:rFonts w:ascii="宋体" w:eastAsia="宋体" w:hAnsi="宋体" w:cs="宋体"/>
          <w:sz w:val="24"/>
          <w:szCs w:val="32"/>
        </w:rPr>
      </w:pPr>
      <w:r>
        <w:rPr>
          <w:rFonts w:ascii="宋体" w:eastAsia="宋体" w:hAnsi="宋体" w:cs="宋体" w:hint="eastAsia"/>
          <w:sz w:val="24"/>
          <w:szCs w:val="32"/>
        </w:rPr>
        <w:t>参考书目</w:t>
      </w:r>
      <w:r>
        <w:rPr>
          <w:rFonts w:ascii="宋体" w:eastAsia="宋体" w:hAnsi="宋体" w:cs="宋体" w:hint="eastAsia"/>
          <w:sz w:val="24"/>
          <w:szCs w:val="32"/>
        </w:rPr>
        <w:t>:</w:t>
      </w:r>
    </w:p>
    <w:p w:rsidR="000D01C3" w:rsidRDefault="00A85936">
      <w:pPr>
        <w:adjustRightInd w:val="0"/>
        <w:snapToGrid w:val="0"/>
        <w:rPr>
          <w:rFonts w:ascii="Times New Roman" w:eastAsia="宋体" w:hAnsi="Times New Roman" w:cs="Times New Roman"/>
          <w:sz w:val="24"/>
          <w:szCs w:val="32"/>
        </w:rPr>
      </w:pPr>
      <w:r>
        <w:rPr>
          <w:rFonts w:ascii="Times New Roman" w:eastAsia="宋体" w:hAnsi="Times New Roman" w:cs="Times New Roman"/>
          <w:sz w:val="24"/>
          <w:szCs w:val="32"/>
        </w:rPr>
        <w:t>刘永泽、陈立军主编：《中级财务会计》第</w:t>
      </w:r>
      <w:r>
        <w:rPr>
          <w:rFonts w:ascii="Times New Roman" w:eastAsia="宋体" w:hAnsi="Times New Roman" w:cs="Times New Roman"/>
          <w:sz w:val="24"/>
          <w:szCs w:val="32"/>
        </w:rPr>
        <w:t>6</w:t>
      </w:r>
      <w:r>
        <w:rPr>
          <w:rFonts w:ascii="Times New Roman" w:eastAsia="宋体" w:hAnsi="Times New Roman" w:cs="Times New Roman"/>
          <w:sz w:val="24"/>
          <w:szCs w:val="32"/>
        </w:rPr>
        <w:t>版，东北财经大学出版社，</w:t>
      </w:r>
      <w:r>
        <w:rPr>
          <w:rFonts w:ascii="Times New Roman" w:eastAsia="宋体" w:hAnsi="Times New Roman" w:cs="Times New Roman"/>
          <w:sz w:val="24"/>
          <w:szCs w:val="32"/>
        </w:rPr>
        <w:t>2018</w:t>
      </w:r>
      <w:r>
        <w:rPr>
          <w:rFonts w:ascii="Times New Roman" w:eastAsia="宋体" w:hAnsi="Times New Roman" w:cs="Times New Roman"/>
          <w:sz w:val="24"/>
          <w:szCs w:val="32"/>
        </w:rPr>
        <w:t>年。</w:t>
      </w:r>
    </w:p>
    <w:p w:rsidR="000D01C3" w:rsidRDefault="00A85936">
      <w:pPr>
        <w:adjustRightInd w:val="0"/>
        <w:snapToGrid w:val="0"/>
        <w:rPr>
          <w:rFonts w:ascii="Times New Roman" w:eastAsia="宋体" w:hAnsi="Times New Roman" w:cs="Times New Roman"/>
          <w:sz w:val="24"/>
          <w:szCs w:val="32"/>
        </w:rPr>
      </w:pPr>
      <w:r>
        <w:rPr>
          <w:rFonts w:ascii="Times New Roman" w:eastAsia="宋体" w:hAnsi="Times New Roman" w:cs="Times New Roman" w:hint="eastAsia"/>
          <w:sz w:val="24"/>
          <w:szCs w:val="32"/>
        </w:rPr>
        <w:t>中国注册会计师协会主</w:t>
      </w:r>
      <w:r>
        <w:rPr>
          <w:rFonts w:ascii="Times New Roman" w:eastAsia="宋体" w:hAnsi="Times New Roman" w:cs="Times New Roman"/>
          <w:sz w:val="24"/>
          <w:szCs w:val="32"/>
        </w:rPr>
        <w:t>编：《财务</w:t>
      </w:r>
      <w:r>
        <w:rPr>
          <w:rFonts w:ascii="Times New Roman" w:eastAsia="宋体" w:hAnsi="Times New Roman" w:cs="Times New Roman" w:hint="eastAsia"/>
          <w:sz w:val="24"/>
          <w:szCs w:val="32"/>
        </w:rPr>
        <w:t>成本</w:t>
      </w:r>
      <w:r>
        <w:rPr>
          <w:rFonts w:ascii="Times New Roman" w:eastAsia="宋体" w:hAnsi="Times New Roman" w:cs="Times New Roman"/>
          <w:sz w:val="24"/>
          <w:szCs w:val="32"/>
        </w:rPr>
        <w:t>管理》，</w:t>
      </w:r>
      <w:r>
        <w:rPr>
          <w:rFonts w:ascii="Times New Roman" w:eastAsia="宋体" w:hAnsi="Times New Roman" w:cs="Times New Roman" w:hint="eastAsia"/>
          <w:sz w:val="24"/>
          <w:szCs w:val="32"/>
        </w:rPr>
        <w:t>中国财政经济</w:t>
      </w:r>
      <w:r>
        <w:rPr>
          <w:rFonts w:ascii="Times New Roman" w:eastAsia="宋体" w:hAnsi="Times New Roman" w:cs="Times New Roman"/>
          <w:sz w:val="24"/>
          <w:szCs w:val="32"/>
        </w:rPr>
        <w:t>出版社，</w:t>
      </w:r>
      <w:r>
        <w:rPr>
          <w:rFonts w:ascii="Times New Roman" w:eastAsia="宋体" w:hAnsi="Times New Roman" w:cs="Times New Roman"/>
          <w:sz w:val="24"/>
          <w:szCs w:val="32"/>
        </w:rPr>
        <w:t>20</w:t>
      </w:r>
      <w:r>
        <w:rPr>
          <w:rFonts w:ascii="Times New Roman" w:eastAsia="宋体" w:hAnsi="Times New Roman" w:cs="Times New Roman" w:hint="eastAsia"/>
          <w:sz w:val="24"/>
          <w:szCs w:val="32"/>
        </w:rPr>
        <w:t>21</w:t>
      </w:r>
      <w:r>
        <w:rPr>
          <w:rFonts w:ascii="Times New Roman" w:eastAsia="宋体" w:hAnsi="Times New Roman" w:cs="Times New Roman"/>
          <w:sz w:val="24"/>
          <w:szCs w:val="32"/>
        </w:rPr>
        <w:t>年。</w:t>
      </w:r>
    </w:p>
    <w:p w:rsidR="000D01C3" w:rsidRDefault="00A85936">
      <w:pPr>
        <w:adjustRightInd w:val="0"/>
        <w:snapToGrid w:val="0"/>
        <w:rPr>
          <w:rFonts w:ascii="Times New Roman" w:eastAsia="宋体" w:hAnsi="Times New Roman" w:cs="Times New Roman"/>
          <w:sz w:val="24"/>
          <w:szCs w:val="32"/>
        </w:rPr>
      </w:pPr>
      <w:r>
        <w:rPr>
          <w:rFonts w:ascii="Times New Roman" w:eastAsia="宋体" w:hAnsi="Times New Roman" w:cs="Times New Roman"/>
          <w:sz w:val="24"/>
          <w:szCs w:val="32"/>
        </w:rPr>
        <w:t>刘明辉</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史德刚主编：《审计》第</w:t>
      </w:r>
      <w:r>
        <w:rPr>
          <w:rFonts w:ascii="Times New Roman" w:eastAsia="宋体" w:hAnsi="Times New Roman" w:cs="Times New Roman"/>
          <w:sz w:val="24"/>
          <w:szCs w:val="32"/>
        </w:rPr>
        <w:t>7</w:t>
      </w:r>
      <w:r>
        <w:rPr>
          <w:rFonts w:ascii="Times New Roman" w:eastAsia="宋体" w:hAnsi="Times New Roman" w:cs="Times New Roman"/>
          <w:sz w:val="24"/>
          <w:szCs w:val="32"/>
        </w:rPr>
        <w:t>版，东北财经大学出版社，</w:t>
      </w:r>
      <w:r>
        <w:rPr>
          <w:rFonts w:ascii="Times New Roman" w:eastAsia="宋体" w:hAnsi="Times New Roman" w:cs="Times New Roman"/>
          <w:sz w:val="24"/>
          <w:szCs w:val="32"/>
        </w:rPr>
        <w:t>2019</w:t>
      </w:r>
      <w:r>
        <w:rPr>
          <w:rFonts w:ascii="Times New Roman" w:eastAsia="宋体" w:hAnsi="Times New Roman" w:cs="Times New Roman"/>
          <w:sz w:val="24"/>
          <w:szCs w:val="32"/>
        </w:rPr>
        <w:t>年</w:t>
      </w:r>
      <w:r>
        <w:rPr>
          <w:rFonts w:ascii="Times New Roman" w:eastAsia="宋体" w:hAnsi="Times New Roman" w:cs="Times New Roman" w:hint="eastAsia"/>
          <w:sz w:val="24"/>
          <w:szCs w:val="32"/>
        </w:rPr>
        <w:t>。</w:t>
      </w:r>
    </w:p>
    <w:p w:rsidR="000D01C3" w:rsidRDefault="000D01C3">
      <w:pPr>
        <w:adjustRightInd w:val="0"/>
        <w:snapToGrid w:val="0"/>
        <w:rPr>
          <w:rFonts w:ascii="宋体" w:eastAsia="宋体" w:hAnsi="宋体" w:cs="宋体"/>
          <w:sz w:val="24"/>
          <w:szCs w:val="32"/>
        </w:rPr>
      </w:pPr>
    </w:p>
    <w:p w:rsidR="000D01C3" w:rsidRDefault="00A85936">
      <w:pPr>
        <w:adjustRightInd w:val="0"/>
        <w:snapToGrid w:val="0"/>
        <w:rPr>
          <w:rFonts w:ascii="Times New Roman" w:eastAsia="宋体" w:hAnsi="Times New Roman" w:cs="Times New Roman"/>
          <w:sz w:val="24"/>
          <w:szCs w:val="32"/>
        </w:rPr>
      </w:pPr>
      <w:r>
        <w:rPr>
          <w:rFonts w:ascii="宋体" w:eastAsia="宋体" w:hAnsi="宋体" w:cs="宋体" w:hint="eastAsia"/>
          <w:sz w:val="24"/>
          <w:szCs w:val="32"/>
        </w:rPr>
        <w:t>同等学历加试科目：</w:t>
      </w:r>
      <w:r>
        <w:rPr>
          <w:rFonts w:ascii="Times New Roman" w:eastAsia="宋体" w:hAnsi="Times New Roman" w:cs="Times New Roman"/>
          <w:sz w:val="24"/>
          <w:szCs w:val="32"/>
        </w:rPr>
        <w:t>1.</w:t>
      </w:r>
      <w:r>
        <w:rPr>
          <w:rFonts w:ascii="Times New Roman" w:eastAsia="宋体" w:hAnsi="Times New Roman" w:cs="Times New Roman"/>
          <w:sz w:val="24"/>
          <w:szCs w:val="32"/>
        </w:rPr>
        <w:t>中级财务会计学（</w:t>
      </w:r>
      <w:r>
        <w:rPr>
          <w:rFonts w:ascii="Times New Roman" w:eastAsia="宋体" w:hAnsi="Times New Roman" w:cs="Times New Roman"/>
          <w:sz w:val="24"/>
          <w:szCs w:val="32"/>
        </w:rPr>
        <w:t>100</w:t>
      </w:r>
      <w:r>
        <w:rPr>
          <w:rFonts w:ascii="Times New Roman" w:eastAsia="宋体" w:hAnsi="Times New Roman" w:cs="Times New Roman"/>
          <w:sz w:val="24"/>
          <w:szCs w:val="32"/>
        </w:rPr>
        <w:t>分）</w:t>
      </w:r>
      <w:r>
        <w:rPr>
          <w:rFonts w:ascii="Times New Roman" w:eastAsia="宋体" w:hAnsi="Times New Roman" w:cs="Times New Roman"/>
          <w:sz w:val="24"/>
          <w:szCs w:val="32"/>
        </w:rPr>
        <w:t xml:space="preserve">  2. </w:t>
      </w:r>
      <w:r>
        <w:rPr>
          <w:rFonts w:ascii="Times New Roman" w:eastAsia="宋体" w:hAnsi="Times New Roman" w:cs="Times New Roman"/>
          <w:sz w:val="24"/>
          <w:szCs w:val="32"/>
        </w:rPr>
        <w:t>财务</w:t>
      </w:r>
      <w:r>
        <w:rPr>
          <w:rFonts w:ascii="Times New Roman" w:eastAsia="宋体" w:hAnsi="Times New Roman" w:cs="Times New Roman" w:hint="eastAsia"/>
          <w:sz w:val="24"/>
          <w:szCs w:val="32"/>
        </w:rPr>
        <w:t>成本</w:t>
      </w:r>
      <w:r>
        <w:rPr>
          <w:rFonts w:ascii="Times New Roman" w:eastAsia="宋体" w:hAnsi="Times New Roman" w:cs="Times New Roman"/>
          <w:sz w:val="24"/>
          <w:szCs w:val="32"/>
        </w:rPr>
        <w:t>管理（</w:t>
      </w:r>
      <w:r>
        <w:rPr>
          <w:rFonts w:ascii="Times New Roman" w:eastAsia="宋体" w:hAnsi="Times New Roman" w:cs="Times New Roman"/>
          <w:sz w:val="24"/>
          <w:szCs w:val="32"/>
        </w:rPr>
        <w:t>100</w:t>
      </w:r>
      <w:r>
        <w:rPr>
          <w:rFonts w:ascii="Times New Roman" w:eastAsia="宋体" w:hAnsi="Times New Roman" w:cs="Times New Roman"/>
          <w:sz w:val="24"/>
          <w:szCs w:val="32"/>
        </w:rPr>
        <w:t>分）</w:t>
      </w:r>
    </w:p>
    <w:p w:rsidR="000D01C3" w:rsidRDefault="000D01C3">
      <w:pPr>
        <w:pStyle w:val="a6"/>
        <w:widowControl/>
        <w:spacing w:beforeAutospacing="0" w:afterAutospacing="0" w:line="360" w:lineRule="auto"/>
        <w:rPr>
          <w:rFonts w:asciiTheme="minorEastAsia" w:hAnsiTheme="minorEastAsia" w:cstheme="minorEastAsia"/>
        </w:rPr>
      </w:pPr>
    </w:p>
    <w:p w:rsidR="000D01C3" w:rsidRDefault="00A85936">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sz w:val="21"/>
          <w:szCs w:val="22"/>
        </w:rPr>
        <w:t>2.</w:t>
      </w:r>
      <w:r>
        <w:rPr>
          <w:rStyle w:val="a7"/>
          <w:rFonts w:asciiTheme="minorEastAsia" w:hAnsiTheme="minorEastAsia" w:cstheme="minorEastAsia" w:hint="eastAsia"/>
        </w:rPr>
        <w:t>《政治》</w:t>
      </w:r>
    </w:p>
    <w:p w:rsidR="000D01C3" w:rsidRPr="009B1167" w:rsidRDefault="00A85936">
      <w:pPr>
        <w:pStyle w:val="a6"/>
        <w:widowControl/>
        <w:spacing w:beforeAutospacing="0" w:afterAutospacing="0" w:line="360" w:lineRule="auto"/>
        <w:rPr>
          <w:rStyle w:val="a7"/>
          <w:rFonts w:asciiTheme="minorEastAsia" w:hAnsiTheme="minorEastAsia" w:cstheme="minorEastAsia"/>
          <w:color w:val="FF0000"/>
        </w:rPr>
      </w:pPr>
      <w:r w:rsidRPr="009B1167">
        <w:rPr>
          <w:rFonts w:asciiTheme="minorEastAsia" w:hAnsiTheme="minorEastAsia" w:cstheme="minorEastAsia" w:hint="eastAsia"/>
          <w:color w:val="FF0000"/>
        </w:rPr>
        <w:t>《政治》</w:t>
      </w:r>
      <w:r w:rsidRPr="009B1167">
        <w:rPr>
          <w:rFonts w:asciiTheme="minorEastAsia" w:hAnsiTheme="minorEastAsia" w:cstheme="minorEastAsia" w:hint="eastAsia"/>
          <w:color w:val="FF0000"/>
        </w:rPr>
        <w:t>100</w:t>
      </w:r>
      <w:r w:rsidR="009B1167" w:rsidRPr="009B1167">
        <w:rPr>
          <w:rFonts w:asciiTheme="minorEastAsia" w:hAnsiTheme="minorEastAsia" w:cstheme="minorEastAsia" w:hint="eastAsia"/>
          <w:color w:val="FF0000"/>
        </w:rPr>
        <w:t>分（</w:t>
      </w:r>
      <w:r w:rsidR="004C640D" w:rsidRPr="004C640D">
        <w:rPr>
          <w:rFonts w:asciiTheme="minorEastAsia" w:hAnsiTheme="minorEastAsia" w:cstheme="minorEastAsia" w:hint="eastAsia"/>
          <w:color w:val="FF0000"/>
        </w:rPr>
        <w:t>要求及格，成绩计入复试总成绩</w:t>
      </w:r>
      <w:r w:rsidRPr="009B1167">
        <w:rPr>
          <w:rFonts w:asciiTheme="minorEastAsia" w:hAnsiTheme="minorEastAsia" w:cstheme="minorEastAsia" w:hint="eastAsia"/>
          <w:color w:val="FF0000"/>
        </w:rPr>
        <w:t>）。</w:t>
      </w:r>
    </w:p>
    <w:p w:rsidR="000D01C3" w:rsidRPr="009B1167" w:rsidRDefault="000D01C3">
      <w:pPr>
        <w:pStyle w:val="a6"/>
        <w:widowControl/>
        <w:spacing w:beforeAutospacing="0" w:afterAutospacing="0" w:line="360" w:lineRule="auto"/>
        <w:rPr>
          <w:rStyle w:val="a7"/>
          <w:rFonts w:asciiTheme="minorEastAsia" w:hAnsiTheme="minorEastAsia" w:cstheme="minorEastAsia"/>
        </w:rPr>
      </w:pP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考试大纲</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1.</w:t>
      </w:r>
      <w:r>
        <w:rPr>
          <w:rStyle w:val="a7"/>
          <w:rFonts w:asciiTheme="minorEastAsia" w:hAnsiTheme="minorEastAsia" w:cstheme="minorEastAsia" w:hint="eastAsia"/>
        </w:rPr>
        <w:t>《会计综合知识》</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《会计综合知识》考试大纲概述：</w:t>
      </w:r>
    </w:p>
    <w:p w:rsidR="000D01C3" w:rsidRDefault="00A85936">
      <w:pPr>
        <w:pStyle w:val="a6"/>
        <w:widowControl/>
        <w:spacing w:beforeAutospacing="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t>本科目考试内容包括财务会计、管理会计、财务管理、审计四大部分。参考会计教指委制定的全国会计硕士专业学位研究生入学考试复试阶段专业课指导性大纲（</w:t>
      </w:r>
      <w:r>
        <w:rPr>
          <w:rFonts w:asciiTheme="minorEastAsia" w:hAnsiTheme="minorEastAsia" w:cstheme="minorEastAsia" w:hint="eastAsia"/>
        </w:rPr>
        <w:t>2016</w:t>
      </w:r>
      <w:r>
        <w:rPr>
          <w:rFonts w:asciiTheme="minorEastAsia" w:hAnsiTheme="minorEastAsia" w:cstheme="minorEastAsia" w:hint="eastAsia"/>
        </w:rPr>
        <w:t>），考试内容包括以下知识点：</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财务会计</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 </w:t>
      </w:r>
      <w:r>
        <w:rPr>
          <w:rFonts w:asciiTheme="minorEastAsia" w:hAnsiTheme="minorEastAsia" w:cstheme="minorEastAsia" w:hint="eastAsia"/>
        </w:rPr>
        <w:t>财务会计报告的目标</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会计基本假设与会计基础</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会计信息质量要求</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会计要素及其确认与计量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财务会计报告的组成</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金融资产</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金融资产</w:t>
      </w:r>
      <w:r>
        <w:rPr>
          <w:rFonts w:asciiTheme="minorEastAsia" w:hAnsiTheme="minorEastAsia" w:cstheme="minorEastAsia" w:hint="eastAsia"/>
        </w:rPr>
        <w:t>及其</w:t>
      </w:r>
      <w:r>
        <w:rPr>
          <w:rFonts w:asciiTheme="minorEastAsia" w:hAnsiTheme="minorEastAsia" w:cstheme="minorEastAsia" w:hint="eastAsia"/>
        </w:rPr>
        <w:t>分类</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交易性</w:t>
      </w:r>
      <w:r>
        <w:rPr>
          <w:rFonts w:asciiTheme="minorEastAsia" w:hAnsiTheme="minorEastAsia" w:cstheme="minorEastAsia" w:hint="eastAsia"/>
        </w:rPr>
        <w:t>金融资产</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债权投资</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应收款项</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w:t>
      </w:r>
      <w:r>
        <w:rPr>
          <w:rFonts w:asciiTheme="minorEastAsia" w:hAnsiTheme="minorEastAsia" w:cstheme="minorEastAsia" w:hint="eastAsia"/>
        </w:rPr>
        <w:t>五</w:t>
      </w:r>
      <w:r>
        <w:rPr>
          <w:rFonts w:asciiTheme="minorEastAsia" w:hAnsiTheme="minorEastAsia" w:cstheme="minorEastAsia" w:hint="eastAsia"/>
        </w:rPr>
        <w:t>节</w:t>
      </w:r>
      <w:r>
        <w:rPr>
          <w:rFonts w:asciiTheme="minorEastAsia" w:hAnsiTheme="minorEastAsia" w:cstheme="minorEastAsia" w:hint="eastAsia"/>
        </w:rPr>
        <w:t xml:space="preserve">  </w:t>
      </w:r>
      <w:r>
        <w:rPr>
          <w:rFonts w:asciiTheme="minorEastAsia" w:hAnsiTheme="minorEastAsia" w:cstheme="minorEastAsia" w:hint="eastAsia"/>
        </w:rPr>
        <w:t>其他金融工具投资</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w:t>
      </w:r>
      <w:r>
        <w:rPr>
          <w:rFonts w:asciiTheme="minorEastAsia" w:hAnsiTheme="minorEastAsia" w:cstheme="minorEastAsia" w:hint="eastAsia"/>
        </w:rPr>
        <w:t>六</w:t>
      </w:r>
      <w:r>
        <w:rPr>
          <w:rFonts w:asciiTheme="minorEastAsia" w:hAnsiTheme="minorEastAsia" w:cstheme="minorEastAsia" w:hint="eastAsia"/>
        </w:rPr>
        <w:t>节</w:t>
      </w:r>
      <w:r>
        <w:rPr>
          <w:rFonts w:asciiTheme="minorEastAsia" w:hAnsiTheme="minorEastAsia" w:cstheme="minorEastAsia" w:hint="eastAsia"/>
        </w:rPr>
        <w:t xml:space="preserve">  </w:t>
      </w:r>
      <w:r>
        <w:rPr>
          <w:rFonts w:asciiTheme="minorEastAsia" w:hAnsiTheme="minorEastAsia" w:cstheme="minorEastAsia" w:hint="eastAsia"/>
        </w:rPr>
        <w:t>金融资产的重分类</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w:t>
      </w:r>
      <w:r>
        <w:rPr>
          <w:rFonts w:asciiTheme="minorEastAsia" w:hAnsiTheme="minorEastAsia" w:cstheme="minorEastAsia" w:hint="eastAsia"/>
        </w:rPr>
        <w:t>七</w:t>
      </w:r>
      <w:r>
        <w:rPr>
          <w:rFonts w:asciiTheme="minorEastAsia" w:hAnsiTheme="minorEastAsia" w:cstheme="minorEastAsia" w:hint="eastAsia"/>
        </w:rPr>
        <w:t>节</w:t>
      </w:r>
      <w:r>
        <w:rPr>
          <w:rFonts w:asciiTheme="minorEastAsia" w:hAnsiTheme="minorEastAsia" w:cstheme="minorEastAsia" w:hint="eastAsia"/>
        </w:rPr>
        <w:t xml:space="preserve">  </w:t>
      </w:r>
      <w:r>
        <w:rPr>
          <w:rFonts w:asciiTheme="minorEastAsia" w:hAnsiTheme="minorEastAsia" w:cstheme="minorEastAsia" w:hint="eastAsia"/>
        </w:rPr>
        <w:t>金融资产减值</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存货</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存货的确认和初始计量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发出存货成本的计量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第三节</w:t>
      </w:r>
      <w:r>
        <w:rPr>
          <w:rFonts w:asciiTheme="minorEastAsia" w:hAnsiTheme="minorEastAsia" w:cstheme="minorEastAsia" w:hint="eastAsia"/>
        </w:rPr>
        <w:t xml:space="preserve">  </w:t>
      </w:r>
      <w:r>
        <w:rPr>
          <w:rFonts w:asciiTheme="minorEastAsia" w:hAnsiTheme="minorEastAsia" w:cstheme="minorEastAsia" w:hint="eastAsia"/>
        </w:rPr>
        <w:t>期末存货的计量</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长期股权投资</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长期股权投资的确认和初始计量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长期股权投资的后续计量</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固定资产</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固定资产的确认和初始计量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固定资产的后续计量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固定资产的处置</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第六章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无形资产</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无形资产的确认和初始计量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内部研究与开发支出的确认和计量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无形资产的后续计量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无形资产的处置</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第七章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负债</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流动负债</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非流动负债</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第八章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所有者权益</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实收资本（股本）</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资本公积</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其他综合收益</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留存收益</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第九章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收入、费用和利润</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 </w:t>
      </w:r>
      <w:r>
        <w:rPr>
          <w:rFonts w:asciiTheme="minorEastAsia" w:hAnsiTheme="minorEastAsia" w:cstheme="minorEastAsia" w:hint="eastAsia"/>
        </w:rPr>
        <w:t>收入</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费用</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直接计入当期利润的利得</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直接计入当期利润的损失</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利润</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财务报告</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财务报告概述</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第二节</w:t>
      </w:r>
      <w:r>
        <w:rPr>
          <w:rFonts w:asciiTheme="minorEastAsia" w:hAnsiTheme="minorEastAsia" w:cstheme="minorEastAsia" w:hint="eastAsia"/>
        </w:rPr>
        <w:t xml:space="preserve">  </w:t>
      </w:r>
      <w:r>
        <w:rPr>
          <w:rFonts w:asciiTheme="minorEastAsia" w:hAnsiTheme="minorEastAsia" w:cstheme="minorEastAsia" w:hint="eastAsia"/>
        </w:rPr>
        <w:t>资产负债表</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利润表</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现金流量表</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所有者权益变动表</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第六节</w:t>
      </w:r>
      <w:r>
        <w:rPr>
          <w:rFonts w:asciiTheme="minorEastAsia" w:hAnsiTheme="minorEastAsia" w:cstheme="minorEastAsia" w:hint="eastAsia"/>
        </w:rPr>
        <w:t xml:space="preserve">  </w:t>
      </w:r>
      <w:r>
        <w:rPr>
          <w:rFonts w:asciiTheme="minorEastAsia" w:hAnsiTheme="minorEastAsia" w:cstheme="minorEastAsia" w:hint="eastAsia"/>
        </w:rPr>
        <w:t>附注</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或有事项</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或有事项概述</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或有事项的确认和计量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或有事项的列报</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资产负债表日后事项</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资产负债表日后事项概述</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调整事项的会计处理</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非调整事项的会计处理</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会计政策、</w:t>
      </w:r>
      <w:r>
        <w:rPr>
          <w:rStyle w:val="a7"/>
          <w:rFonts w:asciiTheme="minorEastAsia" w:hAnsiTheme="minorEastAsia" w:cstheme="minorEastAsia" w:hint="eastAsia"/>
        </w:rPr>
        <w:t>会计估计变更和差错更正</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会计政策及其变更</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会计估计及其变更</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前期差错及其更正</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 </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管理会计</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管理会计与财务会计的区别与联系</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成本的概念和分类</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产品成本核算方法</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产品成本计算概述</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成本的归集与分配</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产品成本计算的品种法</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产品成本计算的分批法</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产品成本计算的分步法</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第六节</w:t>
      </w:r>
      <w:r>
        <w:rPr>
          <w:rFonts w:asciiTheme="minorEastAsia" w:hAnsiTheme="minorEastAsia" w:cstheme="minorEastAsia" w:hint="eastAsia"/>
        </w:rPr>
        <w:t xml:space="preserve">  </w:t>
      </w:r>
      <w:r>
        <w:rPr>
          <w:rFonts w:asciiTheme="minorEastAsia" w:hAnsiTheme="minorEastAsia" w:cstheme="minorEastAsia" w:hint="eastAsia"/>
        </w:rPr>
        <w:t>作业成本法</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lastRenderedPageBreak/>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成本分析与成本管理</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成本性态分析</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变动成本法</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 </w:t>
      </w:r>
      <w:r>
        <w:rPr>
          <w:rFonts w:asciiTheme="minorEastAsia" w:hAnsiTheme="minorEastAsia" w:cstheme="minorEastAsia" w:hint="eastAsia"/>
        </w:rPr>
        <w:t>成本管理方法</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经营决策分析</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经营决策分析的基本方法</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本量利分析</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经营决策中的成本概念运用</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经营决策中的生产组织与外包</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经营决策中的产能利用与存货</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全面预算管理</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全面预算概述</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全面预算的类型与编制方法</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营业预算的编制</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财务预算的编制</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预算实施与管理</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第六节</w:t>
      </w:r>
      <w:r>
        <w:rPr>
          <w:rFonts w:asciiTheme="minorEastAsia" w:hAnsiTheme="minorEastAsia" w:cstheme="minorEastAsia" w:hint="eastAsia"/>
        </w:rPr>
        <w:t xml:space="preserve">  </w:t>
      </w:r>
      <w:r>
        <w:rPr>
          <w:rFonts w:asciiTheme="minorEastAsia" w:hAnsiTheme="minorEastAsia" w:cstheme="minorEastAsia" w:hint="eastAsia"/>
        </w:rPr>
        <w:t>预算结果的考评与反馈</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第六章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责任会计</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责任会计概述</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责任中心的类型与基本原则</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责任会计的职能</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责任会计体系与部门绩效考核</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 </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财务管理</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财务管理的概念</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财务管理的目标</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财务管理的环境</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财务估值的基础</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第一节</w:t>
      </w:r>
      <w:r>
        <w:rPr>
          <w:rFonts w:asciiTheme="minorEastAsia" w:hAnsiTheme="minorEastAsia" w:cstheme="minorEastAsia" w:hint="eastAsia"/>
        </w:rPr>
        <w:t xml:space="preserve">  </w:t>
      </w:r>
      <w:r>
        <w:rPr>
          <w:rFonts w:asciiTheme="minorEastAsia" w:hAnsiTheme="minorEastAsia" w:cstheme="minorEastAsia" w:hint="eastAsia"/>
        </w:rPr>
        <w:t>货币时间价值</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风险和收益</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证券估值</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财务分析</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偿债能力分析</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营运能力分析</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获利能力分析</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发展能力分析</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综合财务分析</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长期筹资决策</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资本成本</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资本结构</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普通股筹资</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长期负债筹资</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 </w:t>
      </w:r>
      <w:r>
        <w:rPr>
          <w:rStyle w:val="a7"/>
          <w:rFonts w:asciiTheme="minorEastAsia" w:hAnsiTheme="minorEastAsia" w:cstheme="minorEastAsia" w:hint="eastAsia"/>
        </w:rPr>
        <w:t>投资决策</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投资的概念</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投资的现金流量分析</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投资决策评价指标及其计算</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第六章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营运资金管理</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短期资产管理</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短期筹资管理</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第七章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股利分配</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利润分配概述</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股利支付的程序和方式</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股利理论与股利分配政策</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 </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审</w:t>
      </w:r>
      <w:r>
        <w:rPr>
          <w:rStyle w:val="a7"/>
          <w:rFonts w:asciiTheme="minorEastAsia" w:hAnsiTheme="minorEastAsia" w:cstheme="minorEastAsia" w:hint="eastAsia"/>
        </w:rPr>
        <w:t xml:space="preserve"> </w:t>
      </w:r>
      <w:r>
        <w:rPr>
          <w:rStyle w:val="a7"/>
          <w:rFonts w:asciiTheme="minorEastAsia" w:hAnsiTheme="minorEastAsia" w:cstheme="minorEastAsia" w:hint="eastAsia"/>
        </w:rPr>
        <w:t>计</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审计的定义和特征</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第二节</w:t>
      </w:r>
      <w:r>
        <w:rPr>
          <w:rFonts w:asciiTheme="minorEastAsia" w:hAnsiTheme="minorEastAsia" w:cstheme="minorEastAsia" w:hint="eastAsia"/>
        </w:rPr>
        <w:t xml:space="preserve">  </w:t>
      </w:r>
      <w:r>
        <w:rPr>
          <w:rFonts w:asciiTheme="minorEastAsia" w:hAnsiTheme="minorEastAsia" w:cstheme="minorEastAsia" w:hint="eastAsia"/>
        </w:rPr>
        <w:t>审计的职能和作用</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审计的分类</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审计准则、职业道德和法律责任</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财务报表审计的核心概念</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审计目标</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重要性</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审计风险</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审计证据</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审计程序</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财务报表审计的思路和步骤</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风险导向审计的基本思路</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风险评估</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控制测试</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实质性程序</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主要业务循环的审计</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销售与收款循环的审计</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采购与付款循环的审计</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生产与职工薪酬循环的审计</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筹资与投资循环的审计</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货币资金与特殊项目的审计</w:t>
      </w:r>
    </w:p>
    <w:p w:rsidR="000D01C3" w:rsidRDefault="00A85936">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审计报告</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审计意见的形成和类型</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标准审计报告的结构和内容</w:t>
      </w:r>
    </w:p>
    <w:p w:rsidR="000D01C3" w:rsidRDefault="00A85936">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 </w:t>
      </w:r>
      <w:r>
        <w:rPr>
          <w:rFonts w:asciiTheme="minorEastAsia" w:hAnsiTheme="minorEastAsia" w:cstheme="minorEastAsia" w:hint="eastAsia"/>
        </w:rPr>
        <w:t>非标准审计报告的结构和内容</w:t>
      </w:r>
    </w:p>
    <w:p w:rsidR="000D01C3" w:rsidRDefault="000D01C3">
      <w:pPr>
        <w:pStyle w:val="a6"/>
        <w:widowControl/>
        <w:spacing w:beforeAutospacing="0" w:afterAutospacing="0" w:line="360" w:lineRule="auto"/>
        <w:rPr>
          <w:rStyle w:val="a7"/>
          <w:rFonts w:asciiTheme="minorEastAsia" w:hAnsiTheme="minorEastAsia" w:cstheme="minorEastAsia"/>
          <w:sz w:val="21"/>
          <w:szCs w:val="22"/>
        </w:rPr>
      </w:pPr>
    </w:p>
    <w:p w:rsidR="000D01C3" w:rsidRDefault="00A85936">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sz w:val="21"/>
          <w:szCs w:val="22"/>
        </w:rPr>
        <w:t>2.</w:t>
      </w:r>
      <w:r>
        <w:rPr>
          <w:rStyle w:val="a7"/>
          <w:rFonts w:asciiTheme="minorEastAsia" w:hAnsiTheme="minorEastAsia" w:cstheme="minorEastAsia" w:hint="eastAsia"/>
        </w:rPr>
        <w:t>《政治》</w:t>
      </w:r>
    </w:p>
    <w:p w:rsidR="000D01C3" w:rsidRDefault="00A85936">
      <w:pPr>
        <w:pStyle w:val="a6"/>
        <w:widowControl/>
        <w:spacing w:beforeAutospacing="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t>从复试试题中抽取题目，限时回答（</w:t>
      </w:r>
      <w:r>
        <w:rPr>
          <w:rFonts w:asciiTheme="minorEastAsia" w:hAnsiTheme="minorEastAsia" w:cstheme="minorEastAsia" w:hint="eastAsia"/>
        </w:rPr>
        <w:t>2-3</w:t>
      </w:r>
      <w:r>
        <w:rPr>
          <w:rFonts w:asciiTheme="minorEastAsia" w:hAnsiTheme="minorEastAsia" w:cstheme="minorEastAsia" w:hint="eastAsia"/>
        </w:rPr>
        <w:t>分钟），考察考生政治观点和政治敏感性。</w:t>
      </w:r>
    </w:p>
    <w:sectPr w:rsidR="000D01C3" w:rsidSect="000D01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36" w:rsidRDefault="00A85936" w:rsidP="009B1167">
      <w:pPr>
        <w:ind w:firstLine="560"/>
      </w:pPr>
      <w:r>
        <w:separator/>
      </w:r>
    </w:p>
  </w:endnote>
  <w:endnote w:type="continuationSeparator" w:id="1">
    <w:p w:rsidR="00A85936" w:rsidRDefault="00A85936" w:rsidP="009B1167">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36" w:rsidRDefault="00A85936" w:rsidP="009B1167">
      <w:pPr>
        <w:ind w:firstLine="560"/>
      </w:pPr>
      <w:r>
        <w:separator/>
      </w:r>
    </w:p>
  </w:footnote>
  <w:footnote w:type="continuationSeparator" w:id="1">
    <w:p w:rsidR="00A85936" w:rsidRDefault="00A85936" w:rsidP="009B1167">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6967C3C"/>
    <w:rsid w:val="000A7F77"/>
    <w:rsid w:val="000D01C3"/>
    <w:rsid w:val="001456F3"/>
    <w:rsid w:val="001D44F7"/>
    <w:rsid w:val="00294EE1"/>
    <w:rsid w:val="00392251"/>
    <w:rsid w:val="00485DA5"/>
    <w:rsid w:val="0049496E"/>
    <w:rsid w:val="004C640D"/>
    <w:rsid w:val="004E2053"/>
    <w:rsid w:val="004E2617"/>
    <w:rsid w:val="005D569B"/>
    <w:rsid w:val="00660FFF"/>
    <w:rsid w:val="00696111"/>
    <w:rsid w:val="007C3E49"/>
    <w:rsid w:val="00883862"/>
    <w:rsid w:val="008B130B"/>
    <w:rsid w:val="009B1167"/>
    <w:rsid w:val="00A31D69"/>
    <w:rsid w:val="00A476F9"/>
    <w:rsid w:val="00A85936"/>
    <w:rsid w:val="00B45E3C"/>
    <w:rsid w:val="00BF1AD8"/>
    <w:rsid w:val="00C446FD"/>
    <w:rsid w:val="00C61F7F"/>
    <w:rsid w:val="00C72B1C"/>
    <w:rsid w:val="00C73AAA"/>
    <w:rsid w:val="00E53141"/>
    <w:rsid w:val="00E776C6"/>
    <w:rsid w:val="00EB6C4E"/>
    <w:rsid w:val="00F162D5"/>
    <w:rsid w:val="00FF1F68"/>
    <w:rsid w:val="00FF795A"/>
    <w:rsid w:val="01745073"/>
    <w:rsid w:val="02596A3E"/>
    <w:rsid w:val="04781435"/>
    <w:rsid w:val="04BB1099"/>
    <w:rsid w:val="0596701A"/>
    <w:rsid w:val="06FE3EFD"/>
    <w:rsid w:val="07DC1BD4"/>
    <w:rsid w:val="088960AF"/>
    <w:rsid w:val="091044D0"/>
    <w:rsid w:val="0BB42E55"/>
    <w:rsid w:val="0BB65C00"/>
    <w:rsid w:val="0D2E0391"/>
    <w:rsid w:val="11C31370"/>
    <w:rsid w:val="19806925"/>
    <w:rsid w:val="19D4346D"/>
    <w:rsid w:val="19D61BE6"/>
    <w:rsid w:val="1B272C6E"/>
    <w:rsid w:val="1B835E25"/>
    <w:rsid w:val="1DEB15CA"/>
    <w:rsid w:val="1EA54F70"/>
    <w:rsid w:val="23F860B9"/>
    <w:rsid w:val="24C16171"/>
    <w:rsid w:val="26A616A0"/>
    <w:rsid w:val="27D34FEF"/>
    <w:rsid w:val="2A5A7AE4"/>
    <w:rsid w:val="2D6536A3"/>
    <w:rsid w:val="306C1458"/>
    <w:rsid w:val="308A7F45"/>
    <w:rsid w:val="30CE2E79"/>
    <w:rsid w:val="33EA09F4"/>
    <w:rsid w:val="358060FF"/>
    <w:rsid w:val="35A97E83"/>
    <w:rsid w:val="36967C3C"/>
    <w:rsid w:val="3A9B0DC9"/>
    <w:rsid w:val="3BC05906"/>
    <w:rsid w:val="3DEE38EF"/>
    <w:rsid w:val="3EB41CBA"/>
    <w:rsid w:val="3F0E62DC"/>
    <w:rsid w:val="3F9A7601"/>
    <w:rsid w:val="47AC496B"/>
    <w:rsid w:val="49C64AD2"/>
    <w:rsid w:val="4AF21C07"/>
    <w:rsid w:val="4B650BAB"/>
    <w:rsid w:val="4BF23726"/>
    <w:rsid w:val="4C80311F"/>
    <w:rsid w:val="4C9238FC"/>
    <w:rsid w:val="50A92704"/>
    <w:rsid w:val="50D96B37"/>
    <w:rsid w:val="51642103"/>
    <w:rsid w:val="5204746F"/>
    <w:rsid w:val="52835CBD"/>
    <w:rsid w:val="532E3583"/>
    <w:rsid w:val="53414461"/>
    <w:rsid w:val="58A2252B"/>
    <w:rsid w:val="5A520E1E"/>
    <w:rsid w:val="5D50212E"/>
    <w:rsid w:val="5E976116"/>
    <w:rsid w:val="60B87BB6"/>
    <w:rsid w:val="62D13C07"/>
    <w:rsid w:val="62E305E5"/>
    <w:rsid w:val="6B5873A3"/>
    <w:rsid w:val="6D535020"/>
    <w:rsid w:val="6E976B73"/>
    <w:rsid w:val="744C1354"/>
    <w:rsid w:val="74D0274C"/>
    <w:rsid w:val="767D5EFA"/>
    <w:rsid w:val="79F503C1"/>
    <w:rsid w:val="7A4177F3"/>
    <w:rsid w:val="7D7443DA"/>
    <w:rsid w:val="7E8C288D"/>
    <w:rsid w:val="7EBD63FF"/>
    <w:rsid w:val="7F736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1C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D01C3"/>
    <w:pPr>
      <w:jc w:val="left"/>
    </w:pPr>
  </w:style>
  <w:style w:type="paragraph" w:styleId="a4">
    <w:name w:val="footer"/>
    <w:basedOn w:val="a"/>
    <w:link w:val="Char"/>
    <w:qFormat/>
    <w:rsid w:val="000D01C3"/>
    <w:pPr>
      <w:tabs>
        <w:tab w:val="center" w:pos="4153"/>
        <w:tab w:val="right" w:pos="8306"/>
      </w:tabs>
      <w:snapToGrid w:val="0"/>
      <w:jc w:val="left"/>
    </w:pPr>
    <w:rPr>
      <w:sz w:val="18"/>
      <w:szCs w:val="18"/>
    </w:rPr>
  </w:style>
  <w:style w:type="paragraph" w:styleId="a5">
    <w:name w:val="header"/>
    <w:basedOn w:val="a"/>
    <w:link w:val="Char0"/>
    <w:qFormat/>
    <w:rsid w:val="000D01C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D01C3"/>
    <w:pPr>
      <w:spacing w:beforeAutospacing="1" w:afterAutospacing="1"/>
      <w:jc w:val="left"/>
    </w:pPr>
    <w:rPr>
      <w:rFonts w:cs="Times New Roman"/>
      <w:kern w:val="0"/>
      <w:sz w:val="24"/>
    </w:rPr>
  </w:style>
  <w:style w:type="character" w:styleId="a7">
    <w:name w:val="Strong"/>
    <w:basedOn w:val="a0"/>
    <w:qFormat/>
    <w:rsid w:val="000D01C3"/>
    <w:rPr>
      <w:b/>
    </w:rPr>
  </w:style>
  <w:style w:type="character" w:customStyle="1" w:styleId="Char0">
    <w:name w:val="页眉 Char"/>
    <w:basedOn w:val="a0"/>
    <w:link w:val="a5"/>
    <w:qFormat/>
    <w:rsid w:val="000D01C3"/>
    <w:rPr>
      <w:rFonts w:asciiTheme="minorHAnsi" w:eastAsiaTheme="minorEastAsia" w:hAnsiTheme="minorHAnsi" w:cstheme="minorBidi"/>
      <w:kern w:val="2"/>
      <w:sz w:val="18"/>
      <w:szCs w:val="18"/>
    </w:rPr>
  </w:style>
  <w:style w:type="character" w:customStyle="1" w:styleId="Char">
    <w:name w:val="页脚 Char"/>
    <w:basedOn w:val="a0"/>
    <w:link w:val="a4"/>
    <w:qFormat/>
    <w:rsid w:val="000D01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star1979\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22</TotalTime>
  <Pages>8</Pages>
  <Words>558</Words>
  <Characters>3185</Characters>
  <Application>Microsoft Office Word</Application>
  <DocSecurity>0</DocSecurity>
  <Lines>26</Lines>
  <Paragraphs>7</Paragraphs>
  <ScaleCrop>false</ScaleCrop>
  <Company>微软中国</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cjlstar</dc:creator>
  <cp:lastModifiedBy>微软用户</cp:lastModifiedBy>
  <cp:revision>16</cp:revision>
  <dcterms:created xsi:type="dcterms:W3CDTF">2018-05-11T09:50:00Z</dcterms:created>
  <dcterms:modified xsi:type="dcterms:W3CDTF">2021-09-16T04:11:00Z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DE9E08E989E94B2ABC9A516118D87739</vt:lpwstr>
  </property>
</Properties>
</file>