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黑体"/>
          <w:color w:val="000000"/>
          <w:sz w:val="30"/>
          <w:szCs w:val="30"/>
        </w:rPr>
      </w:pPr>
      <w:bookmarkStart w:id="0" w:name="_GoBack"/>
      <w:bookmarkEnd w:id="0"/>
      <w:r>
        <w:rPr>
          <w:rStyle w:val="6"/>
          <w:rFonts w:eastAsia="黑体"/>
          <w:color w:val="000000"/>
          <w:sz w:val="30"/>
          <w:szCs w:val="30"/>
        </w:rPr>
        <w:t>福  州  大  学</w:t>
      </w:r>
    </w:p>
    <w:p>
      <w:pPr>
        <w:jc w:val="center"/>
        <w:rPr>
          <w:rStyle w:val="6"/>
          <w:rFonts w:eastAsia="黑体"/>
          <w:color w:val="000000"/>
          <w:sz w:val="30"/>
          <w:szCs w:val="30"/>
        </w:rPr>
      </w:pPr>
      <w:r>
        <w:rPr>
          <w:rStyle w:val="6"/>
          <w:rFonts w:eastAsia="黑体"/>
          <w:color w:val="000000"/>
          <w:sz w:val="30"/>
          <w:szCs w:val="30"/>
          <w:u w:val="single" w:color="000000"/>
        </w:rPr>
        <w:t xml:space="preserve">  2022  </w:t>
      </w:r>
      <w:r>
        <w:rPr>
          <w:rStyle w:val="6"/>
          <w:rFonts w:eastAsia="黑体"/>
          <w:color w:val="000000"/>
          <w:sz w:val="30"/>
          <w:szCs w:val="30"/>
        </w:rPr>
        <w:t>年硕士研究生入学考试专业课考试大纲</w:t>
      </w:r>
    </w:p>
    <w:p>
      <w:pPr>
        <w:numPr>
          <w:ilvl w:val="0"/>
          <w:numId w:val="1"/>
        </w:numPr>
        <w:tabs>
          <w:tab w:val="left" w:pos="540"/>
        </w:tabs>
        <w:ind w:left="524"/>
        <w:rPr>
          <w:rStyle w:val="6"/>
          <w:rFonts w:ascii="宋体" w:hAnsi="宋体"/>
          <w:color w:val="000000"/>
          <w:sz w:val="24"/>
        </w:rPr>
      </w:pPr>
      <w:r>
        <w:rPr>
          <w:rStyle w:val="6"/>
          <w:rFonts w:ascii="宋体" w:hAnsi="宋体"/>
          <w:color w:val="000000"/>
          <w:sz w:val="24"/>
        </w:rPr>
        <w:t>考试科目名称: 法学基础A</w:t>
      </w:r>
    </w:p>
    <w:p>
      <w:pPr>
        <w:numPr>
          <w:ilvl w:val="0"/>
          <w:numId w:val="1"/>
        </w:numPr>
        <w:tabs>
          <w:tab w:val="left" w:pos="540"/>
        </w:tabs>
        <w:ind w:left="508"/>
        <w:rPr>
          <w:rStyle w:val="6"/>
          <w:rFonts w:ascii="宋体" w:hAnsi="宋体"/>
          <w:color w:val="000000"/>
          <w:sz w:val="24"/>
        </w:rPr>
      </w:pPr>
      <w:r>
        <w:rPr>
          <w:rStyle w:val="6"/>
          <w:rFonts w:ascii="宋体" w:hAnsi="宋体"/>
          <w:color w:val="000000"/>
          <w:sz w:val="24"/>
        </w:rPr>
        <w:t xml:space="preserve">招生学院（盖学院公章）：法学院                               </w:t>
      </w:r>
    </w:p>
    <w:tbl>
      <w:tblPr>
        <w:tblStyle w:val="4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1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基本内容:</w:t>
            </w:r>
          </w:p>
          <w:p>
            <w:pPr>
              <w:ind w:firstLine="482" w:firstLineChars="200"/>
              <w:rPr>
                <w:rStyle w:val="6"/>
                <w:rFonts w:ascii="宋体"/>
                <w:b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color w:val="000000"/>
                <w:sz w:val="24"/>
              </w:rPr>
              <w:t>法理学部分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法理学的对象、性质和研究方法；法理学的历史；马克思主义法理学的中国化；法的概念；法的本质；法的基本特征；法的要素；法的起源；法的历史类型；法系；法律价值；法的渊源、分类和效力；法律关系；法律行为；法律责任；法律方法；中国社会主义法与经济、科技、文化、社会、生态；中国社会主义立法和法律体系；法律实施；全面依法治国、建设法治中国</w:t>
            </w:r>
          </w:p>
          <w:p>
            <w:pPr>
              <w:ind w:firstLine="482" w:firstLineChars="20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color w:val="000000"/>
                <w:sz w:val="24"/>
              </w:rPr>
              <w:t>宪法学部分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宪法的概念；宪法的基本原则；公民基本权利与基本义务；国家机构</w:t>
            </w:r>
          </w:p>
          <w:p>
            <w:pPr>
              <w:ind w:firstLine="482" w:firstLineChars="20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b/>
                <w:color w:val="000000"/>
                <w:sz w:val="24"/>
              </w:rPr>
              <w:t>诉讼法学部分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民事诉讼基础理论（民事诉讼目的、民事程序价值、民事诉讼模式及其结构选择、民事诉讼契约、诉权理论）、民刑（行）交叉纠纷案件解决机制、民事诉讼基本原则、民事诉讼基本制度、法院管辖、民事诉讼当事人、民事证据制度、民事诉讼程序（第一审程序、第二审程序、再审程序）、民事非讼程序（特别程序[除选民资格案件外]、督促程序、公示催告程序）、民事执行程序等基本内容。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刑事诉讼基本原理和原则、证据制度、辩护制度、起诉制度和审级制度等基本诉讼制度；刑事诉讼中一般程序规则和特殊程序规定；刑事诉讼中各诉讼主体的各自职能和权利义务内容；刑事诉讼的目</w:t>
            </w:r>
            <w:r>
              <w:rPr>
                <w:rStyle w:val="6"/>
                <w:rFonts w:hint="eastAsia" w:ascii="宋体" w:hAnsi="宋体"/>
                <w:color w:val="000000"/>
                <w:sz w:val="24"/>
              </w:rPr>
              <w:t>的</w:t>
            </w:r>
            <w:r>
              <w:rPr>
                <w:rStyle w:val="6"/>
                <w:rFonts w:ascii="宋体" w:hAnsi="宋体"/>
                <w:color w:val="000000"/>
                <w:sz w:val="24"/>
              </w:rPr>
              <w:t>与结构的关系、公正与效率的关系、打击犯罪与保护公民权利的关系等基本内容。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参考书目(须与专业目录一致)(包括作者、书目、出版社、出版时间、版次)：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1.马工程教材  《法理学》编写组：《法理学》（第二版），人民出版社、高等教育出版社2020年版。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2.《宪法学》编写组：《宪法学》（第二版），高等教育出版社，人民出版社2020年12月版；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3.马工程教材   民事诉讼法学编写组：《民事诉讼法学》（第二版），高等教育出版社出版2018年版；</w:t>
            </w:r>
          </w:p>
          <w:p>
            <w:pPr>
              <w:spacing w:line="360" w:lineRule="exact"/>
              <w:ind w:firstLine="480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4.马工程教材   刑事诉讼法学编写组：《刑事诉讼法学》（第三版），高等教育出版社2019年版。</w:t>
            </w:r>
          </w:p>
        </w:tc>
      </w:tr>
    </w:tbl>
    <w:p>
      <w:pPr>
        <w:rPr>
          <w:rStyle w:val="6"/>
          <w:color w:val="000000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widowControl/>
        <w:tabs>
          <w:tab w:val="left" w:pos="960"/>
        </w:tabs>
        <w:ind w:left="960" w:hanging="48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tabs>
          <w:tab w:val="left" w:pos="1320"/>
        </w:tabs>
        <w:ind w:left="132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tabs>
          <w:tab w:val="left" w:pos="1740"/>
        </w:tabs>
        <w:ind w:left="174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tabs>
          <w:tab w:val="left" w:pos="2160"/>
        </w:tabs>
        <w:ind w:left="216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tabs>
          <w:tab w:val="left" w:pos="2580"/>
        </w:tabs>
        <w:ind w:left="258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3000"/>
        </w:tabs>
        <w:ind w:left="300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3420"/>
        </w:tabs>
        <w:ind w:left="342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840"/>
        </w:tabs>
        <w:ind w:left="384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4260"/>
        </w:tabs>
        <w:ind w:left="426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12"/>
    <w:rsid w:val="00532112"/>
    <w:rsid w:val="00DC5543"/>
    <w:rsid w:val="4DE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rPr>
      <w:sz w:val="18"/>
      <w:szCs w:val="20"/>
    </w:rPr>
  </w:style>
  <w:style w:type="paragraph" w:customStyle="1" w:styleId="9">
    <w:name w:val="List2"/>
    <w:basedOn w:val="1"/>
    <w:uiPriority w:val="0"/>
    <w:pPr>
      <w:spacing w:line="312" w:lineRule="atLeast"/>
      <w:ind w:left="840" w:hanging="420"/>
    </w:pPr>
    <w:rPr>
      <w:kern w:val="0"/>
      <w:szCs w:val="20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kern w:val="2"/>
      <w:sz w:val="18"/>
      <w:szCs w:val="18"/>
    </w:rPr>
  </w:style>
  <w:style w:type="paragraph" w:customStyle="1" w:styleId="12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13">
    <w:name w:val="BodyText1I"/>
    <w:basedOn w:val="8"/>
    <w:uiPriority w:val="0"/>
    <w:pPr>
      <w:spacing w:after="120" w:line="312" w:lineRule="atLeast"/>
      <w:ind w:firstLine="420"/>
    </w:pPr>
    <w:rPr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2021-09-17T02:35:00Z</dcterms:created>
  <dc:creator>yy</dc:creator>
  <cp:lastModifiedBy>屿</cp:lastModifiedBy>
  <dcterms:modified xsi:type="dcterms:W3CDTF">2021-09-22T06:37:26Z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A6272F33905B44C19BDF66D6BC446381</vt:lpwstr>
  </property>
</Properties>
</file>