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福建农</w:t>
      </w:r>
      <w:r>
        <w:rPr>
          <w:rFonts w:hint="eastAsia"/>
          <w:lang w:val="en-US" w:eastAsia="zh-CN"/>
        </w:rPr>
        <w:t>林</w:t>
      </w:r>
      <w:r>
        <w:rPr>
          <w:rFonts w:hint="eastAsia"/>
        </w:rPr>
        <w:t>大学经济管理学院2022年硕士研究生调剂公告（一）</w:t>
      </w:r>
    </w:p>
    <w:tbl>
      <w:tblPr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8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5000" w:type="pct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根据2022年全国硕士研究生招生考试考生进入复试的初试成绩基本要求，并结合我院硕士研究生招生专业的第一志愿录取情况，2022年我院部分专业拟接收调剂考生，现将有关事项公告如下：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1.拟接收调剂专业</w:t>
            </w:r>
          </w:p>
          <w:tbl>
            <w:tblPr>
              <w:tblW w:w="4998" w:type="pct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322"/>
              <w:gridCol w:w="1795"/>
              <w:gridCol w:w="1949"/>
              <w:gridCol w:w="1974"/>
              <w:gridCol w:w="126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96" w:type="pc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学位类型</w:t>
                  </w:r>
                </w:p>
              </w:tc>
              <w:tc>
                <w:tcPr>
                  <w:tcW w:w="1080" w:type="pct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专业代码</w:t>
                  </w:r>
                  <w:bookmarkStart w:id="0" w:name="_GoBack"/>
                  <w:bookmarkEnd w:id="0"/>
                </w:p>
              </w:tc>
              <w:tc>
                <w:tcPr>
                  <w:tcW w:w="1173" w:type="pct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专业名称</w:t>
                  </w:r>
                </w:p>
              </w:tc>
              <w:tc>
                <w:tcPr>
                  <w:tcW w:w="1188" w:type="pct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拟接收调剂名额</w:t>
                  </w:r>
                </w:p>
              </w:tc>
              <w:tc>
                <w:tcPr>
                  <w:tcW w:w="760" w:type="pct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复试比例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96" w:type="pct"/>
                  <w:vMerge w:val="restart"/>
                  <w:tcBorders>
                    <w:top w:val="nil"/>
                    <w:left w:val="single" w:color="000000" w:sz="6" w:space="0"/>
                    <w:bottom w:val="nil"/>
                    <w:right w:val="single" w:color="000000" w:sz="6" w:space="0"/>
                  </w:tcBorders>
                  <w:shd w:val="clear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学术学位</w:t>
                  </w:r>
                </w:p>
              </w:tc>
              <w:tc>
                <w:tcPr>
                  <w:tcW w:w="1080" w:type="pct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120301</w:t>
                  </w:r>
                </w:p>
              </w:tc>
              <w:tc>
                <w:tcPr>
                  <w:tcW w:w="1173" w:type="pct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农业经济管理</w:t>
                  </w:r>
                </w:p>
              </w:tc>
              <w:tc>
                <w:tcPr>
                  <w:tcW w:w="1188" w:type="pct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</w:t>
                  </w:r>
                </w:p>
              </w:tc>
              <w:tc>
                <w:tcPr>
                  <w:tcW w:w="760" w:type="pct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1:3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96" w:type="pct"/>
                  <w:vMerge w:val="continue"/>
                  <w:tcBorders>
                    <w:top w:val="nil"/>
                    <w:left w:val="single" w:color="000000" w:sz="6" w:space="0"/>
                    <w:bottom w:val="nil"/>
                    <w:right w:val="single" w:color="000000" w:sz="6" w:space="0"/>
                  </w:tcBorders>
                  <w:shd w:val="clear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80" w:type="pct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120302</w:t>
                  </w:r>
                </w:p>
              </w:tc>
              <w:tc>
                <w:tcPr>
                  <w:tcW w:w="1173" w:type="pct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林业经济管理</w:t>
                  </w:r>
                </w:p>
              </w:tc>
              <w:tc>
                <w:tcPr>
                  <w:tcW w:w="1188" w:type="pct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</w:t>
                  </w:r>
                </w:p>
              </w:tc>
              <w:tc>
                <w:tcPr>
                  <w:tcW w:w="760" w:type="pct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1:3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96" w:type="pct"/>
                  <w:vMerge w:val="continue"/>
                  <w:tcBorders>
                    <w:top w:val="nil"/>
                    <w:left w:val="single" w:color="000000" w:sz="6" w:space="0"/>
                    <w:bottom w:val="nil"/>
                    <w:right w:val="single" w:color="000000" w:sz="6" w:space="0"/>
                  </w:tcBorders>
                  <w:shd w:val="clear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80" w:type="pct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120201</w:t>
                  </w:r>
                </w:p>
              </w:tc>
              <w:tc>
                <w:tcPr>
                  <w:tcW w:w="1173" w:type="pct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会计学</w:t>
                  </w:r>
                </w:p>
              </w:tc>
              <w:tc>
                <w:tcPr>
                  <w:tcW w:w="1188" w:type="pct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760" w:type="pct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1:3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96" w:type="pct"/>
                  <w:vMerge w:val="continue"/>
                  <w:tcBorders>
                    <w:top w:val="nil"/>
                    <w:left w:val="single" w:color="000000" w:sz="6" w:space="0"/>
                    <w:bottom w:val="nil"/>
                    <w:right w:val="single" w:color="000000" w:sz="6" w:space="0"/>
                  </w:tcBorders>
                  <w:shd w:val="clear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80" w:type="pct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120202</w:t>
                  </w:r>
                </w:p>
              </w:tc>
              <w:tc>
                <w:tcPr>
                  <w:tcW w:w="1173" w:type="pct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企业管理</w:t>
                  </w:r>
                </w:p>
              </w:tc>
              <w:tc>
                <w:tcPr>
                  <w:tcW w:w="1188" w:type="pct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13</w:t>
                  </w:r>
                </w:p>
              </w:tc>
              <w:tc>
                <w:tcPr>
                  <w:tcW w:w="760" w:type="pct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1:3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96" w:type="pct"/>
                  <w:vMerge w:val="continue"/>
                  <w:tcBorders>
                    <w:top w:val="nil"/>
                    <w:left w:val="single" w:color="000000" w:sz="6" w:space="0"/>
                    <w:bottom w:val="nil"/>
                    <w:right w:val="single" w:color="000000" w:sz="6" w:space="0"/>
                  </w:tcBorders>
                  <w:shd w:val="clear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80" w:type="pct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120203</w:t>
                  </w:r>
                </w:p>
              </w:tc>
              <w:tc>
                <w:tcPr>
                  <w:tcW w:w="1173" w:type="pct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旅游管理</w:t>
                  </w:r>
                </w:p>
              </w:tc>
              <w:tc>
                <w:tcPr>
                  <w:tcW w:w="1188" w:type="pct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</w:t>
                  </w:r>
                </w:p>
              </w:tc>
              <w:tc>
                <w:tcPr>
                  <w:tcW w:w="760" w:type="pct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1:3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96" w:type="pct"/>
                  <w:vMerge w:val="continue"/>
                  <w:tcBorders>
                    <w:top w:val="nil"/>
                    <w:left w:val="single" w:color="000000" w:sz="6" w:space="0"/>
                    <w:bottom w:val="nil"/>
                    <w:right w:val="single" w:color="000000" w:sz="6" w:space="0"/>
                  </w:tcBorders>
                  <w:shd w:val="clear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80" w:type="pct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020202</w:t>
                  </w:r>
                </w:p>
              </w:tc>
              <w:tc>
                <w:tcPr>
                  <w:tcW w:w="1173" w:type="pct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区域经济学</w:t>
                  </w:r>
                </w:p>
              </w:tc>
              <w:tc>
                <w:tcPr>
                  <w:tcW w:w="1188" w:type="pct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</w:t>
                  </w:r>
                </w:p>
              </w:tc>
              <w:tc>
                <w:tcPr>
                  <w:tcW w:w="760" w:type="pct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1:3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96" w:type="pct"/>
                  <w:vMerge w:val="continue"/>
                  <w:tcBorders>
                    <w:top w:val="nil"/>
                    <w:left w:val="single" w:color="000000" w:sz="6" w:space="0"/>
                    <w:bottom w:val="nil"/>
                    <w:right w:val="single" w:color="000000" w:sz="6" w:space="0"/>
                  </w:tcBorders>
                  <w:shd w:val="clear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80" w:type="pct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020204</w:t>
                  </w:r>
                </w:p>
              </w:tc>
              <w:tc>
                <w:tcPr>
                  <w:tcW w:w="1173" w:type="pct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金融学</w:t>
                  </w:r>
                </w:p>
              </w:tc>
              <w:tc>
                <w:tcPr>
                  <w:tcW w:w="1188" w:type="pct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</w:t>
                  </w:r>
                </w:p>
              </w:tc>
              <w:tc>
                <w:tcPr>
                  <w:tcW w:w="760" w:type="pct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1:3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96" w:type="pct"/>
                  <w:vMerge w:val="continue"/>
                  <w:tcBorders>
                    <w:top w:val="nil"/>
                    <w:left w:val="single" w:color="000000" w:sz="6" w:space="0"/>
                    <w:bottom w:val="nil"/>
                    <w:right w:val="single" w:color="000000" w:sz="6" w:space="0"/>
                  </w:tcBorders>
                  <w:shd w:val="clear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80" w:type="pct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020206</w:t>
                  </w:r>
                </w:p>
              </w:tc>
              <w:tc>
                <w:tcPr>
                  <w:tcW w:w="1173" w:type="pct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国际贸易学</w:t>
                  </w:r>
                </w:p>
              </w:tc>
              <w:tc>
                <w:tcPr>
                  <w:tcW w:w="1188" w:type="pct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760" w:type="pct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1:3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96" w:type="pct"/>
                  <w:vMerge w:val="restart"/>
                  <w:tcBorders>
                    <w:top w:val="nil"/>
                    <w:left w:val="single" w:color="000000" w:sz="6" w:space="0"/>
                    <w:bottom w:val="nil"/>
                    <w:right w:val="single" w:color="000000" w:sz="6" w:space="0"/>
                  </w:tcBorders>
                  <w:shd w:val="clear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专业学位</w:t>
                  </w:r>
                </w:p>
              </w:tc>
              <w:tc>
                <w:tcPr>
                  <w:tcW w:w="1080" w:type="pct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025100</w:t>
                  </w:r>
                </w:p>
              </w:tc>
              <w:tc>
                <w:tcPr>
                  <w:tcW w:w="1173" w:type="pct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金融</w:t>
                  </w:r>
                </w:p>
              </w:tc>
              <w:tc>
                <w:tcPr>
                  <w:tcW w:w="1188" w:type="pct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30</w:t>
                  </w:r>
                </w:p>
              </w:tc>
              <w:tc>
                <w:tcPr>
                  <w:tcW w:w="760" w:type="pct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1:3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96" w:type="pct"/>
                  <w:vMerge w:val="continue"/>
                  <w:tcBorders>
                    <w:top w:val="nil"/>
                    <w:left w:val="single" w:color="000000" w:sz="6" w:space="0"/>
                    <w:bottom w:val="nil"/>
                    <w:right w:val="single" w:color="000000" w:sz="6" w:space="0"/>
                  </w:tcBorders>
                  <w:shd w:val="clear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80" w:type="pct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125100</w:t>
                  </w:r>
                </w:p>
              </w:tc>
              <w:tc>
                <w:tcPr>
                  <w:tcW w:w="1173" w:type="pct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工商管理（MBA）</w:t>
                  </w:r>
                </w:p>
              </w:tc>
              <w:tc>
                <w:tcPr>
                  <w:tcW w:w="1188" w:type="pct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31</w:t>
                  </w:r>
                </w:p>
              </w:tc>
              <w:tc>
                <w:tcPr>
                  <w:tcW w:w="760" w:type="pct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1:1.5</w:t>
                  </w:r>
                </w:p>
              </w:tc>
            </w:tr>
          </w:tbl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2.调剂系统开放时间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经济管理学院2022年硕士研究生招生调剂系统拟开通时间为2022年4月6日00:00- 14:00，请符合要求的考生至中国研招网（https://yz.chsi.com.cn/）调剂系统进行填报。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3.复试录取办法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详见《福建农林大学经济管理学院2022年招收攻读硕士学位研究生复试录取实施细则》</w:t>
            </w: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"https://jjglxy.fafu.edu.cn/2022/0328/c269a318291/page.psp"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https://jjglxy.fafu.edu.cn/2022/0328/c269a318291/page.psp</w:t>
            </w:r>
            <w:r>
              <w:rPr>
                <w:rFonts w:hint="eastAsia"/>
                <w:lang w:val="en-US" w:eastAsia="zh-CN"/>
              </w:rPr>
              <w:fldChar w:fldCharType="end"/>
            </w:r>
            <w:r>
              <w:rPr>
                <w:rFonts w:hint="eastAsia"/>
                <w:lang w:val="en-US" w:eastAsia="zh-CN"/>
              </w:rPr>
              <w:t>，参加复试前请考生务必详细阅读学院复试录取细则，并按照要求调试设备，准备相关证明材料。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4.咨询方式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学术型研究生咨询QQ群：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2562225" cy="2686050"/>
                  <wp:effectExtent l="0" t="0" r="9525" b="0"/>
                  <wp:docPr id="7" name="图片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268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；工商管理（MBA）咨询QQ群：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2847975" cy="3171825"/>
                  <wp:effectExtent l="0" t="0" r="9525" b="9525"/>
                  <wp:docPr id="8" name="图片 7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3171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金融咨询QQ群：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2686050" cy="3343275"/>
                  <wp:effectExtent l="0" t="0" r="0" b="9525"/>
                  <wp:docPr id="6" name="图片 8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8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3343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福建农林大学经济管理学院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51" w:hRule="atLeast"/>
          <w:jc w:val="center"/>
        </w:trPr>
        <w:tc>
          <w:tcPr>
            <w:tcW w:w="5000" w:type="pct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　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66069"/>
    <w:rsid w:val="6356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2022-04-07T03:05:00Z</dcterms:created>
  <dc:creator>kyzb</dc:creator>
  <cp:lastModifiedBy>kyzb</cp:lastModifiedBy>
  <dcterms:modified xsi:type="dcterms:W3CDTF">2022-04-07T03:26:59Z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C619D3C0CC914B2AAFEE7DD807D1FA09</vt:lpwstr>
  </property>
</Properties>
</file>