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全日制：</w:t>
      </w:r>
    </w:p>
    <w:p>
      <w:pPr>
        <w:rPr>
          <w:rFonts w:hint="eastAsia"/>
          <w:lang w:val="en-US" w:eastAsia="zh-CN"/>
        </w:rPr>
      </w:pPr>
    </w:p>
    <w:tbl>
      <w:tblPr>
        <w:tblW w:w="0" w:type="auto"/>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454"/>
        <w:gridCol w:w="377"/>
        <w:gridCol w:w="377"/>
        <w:gridCol w:w="466"/>
        <w:gridCol w:w="654"/>
        <w:gridCol w:w="404"/>
        <w:gridCol w:w="400"/>
        <w:gridCol w:w="971"/>
        <w:gridCol w:w="1630"/>
        <w:gridCol w:w="1183"/>
        <w:gridCol w:w="1148"/>
        <w:gridCol w:w="422"/>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0" w:type="auto"/>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bookmarkStart w:id="0" w:name="_GoBack"/>
            <w:r>
              <w:rPr>
                <w:rFonts w:hint="eastAsia"/>
                <w:lang w:val="en-US" w:eastAsia="zh-CN"/>
              </w:rPr>
              <w:t>生物医学工程与仪器科学学院</w:t>
            </w:r>
            <w:bookmarkEnd w:id="0"/>
            <w:r>
              <w:rPr>
                <w:rFonts w:hint="eastAsia"/>
                <w:lang w:val="en-US" w:eastAsia="zh-CN"/>
              </w:rPr>
              <w:t>(15)</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生物医学工程(0831)</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▲☆※生物医学工程(083100)</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①101思想政治理论②201英语（一）③301数学（一）④883生物医学工程综合</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本专业单独分数线划档，单独录取。 欢迎医学、药学、数学、物理、化学、生物、信电、计算机、电子、电气、电机、自控、仪器类考生报考。 报考科学技术研究院研究方向的考生，请填报生物医学工程与仪器科学学院，并在备注中注明。研究工作在科学技术研究院下属浙江大学求是高等研究院进行，网址：http://www.qaas.zju.edu.cn/BMI/index.asp。 报考医学院下属系统神经与认知科学研究所研究方向的考生，请填报生物医学工程与仪器科学学院，并在备注中注明。网址：http://www.ziint.zju.edu.cn/ 注：883《生物医学工程综合》，主要内容包括：模拟电子技术、数字电子技术、生理学等。考试大纲、参考书等具体内容请访问浙江大学生物医学工程与仪器科学学院网站。</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9（以最终实际录取人数为准。）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19（含1名求高院，4名系统所。以最终实际录取人数为准。）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生物医学工程与仪器科学学院(15)</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生物医学工程(0831)</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▲☆※★电子信息技术及仪器(0831Z1)</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①101思想政治理论②201英语（一）③301数学（一）④857模拟与数字电子技术</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本专业单独分数线划档，单独录取。 欢迎电子信息、计算机、自控、电气、应用电子类和应用数学考生报考。 注：857《模拟与数字电子技术》，主要内容包括：模拟电子技术、数字电子技术等。考试大纲、参考书等具体内容请访问浙江大学生物医学工程与仪器科学学院网站。</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8（以最终实际录取人数为准。）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12（以最终实际录取人数为准。）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生物医学工程与仪器科学学院(15)</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电子信息(0854)</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▲※电子信息(085400)</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(01)仪器仪表工程</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仪器仪表工程领域</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①101思想政治理论②201英语（一）③301数学（一）④857模拟与数字电子技术</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本专业单独分数线划档，单独录取。 欢迎电子信息、计算机、自控、电气、应用电子类和应用数学考生报考。 注： 857《模拟与数字电子技术》，主要内容包括：模拟电子技术、数字电子技术等。考试大纲、参考书等具体内容请访问浙江大学生物医学工程与仪器科学学院网站。 本院硕士专业学位研究生实行项目制培养，启动多项工程硕士培养项目，具体见学院官网后续相关通知，http://www.cbeis.zju.edu.cn/。 2023级新生实际执行收费标准，按照学校全日制专业学位研究生学费标准调整工作方案为4万元/生.全程。</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6（其中高端测试仪器与装备项目5名，智能医疗技术及仪器工程项目1名。以最终实际录取人数为准。）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8（其中高端测试仪器与装备项目7名，智能医疗技术及仪器工程项目1名。以最终实际录取人数为准。）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生物医学工程与仪器科学学院(15)</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电子信息(0854)</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▲※电子信息(085400)</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(02)生物医学工程</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生物医学工程领域</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①101思想政治理论②201英语（一）③301数学（一）④883生物医学工程综合</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本专业单独分数线划档，单独录取。 欢迎医学、药学、数学、物理、化学、生物、信电、计算机、电子、电气、电机、自控、仪器类考生报考。 报考科学技术研究院研究方向的考生，请填报生物医学工程与仪器科学学院，并在备注中注明。研究工作在科学技术研究院下属浙江大学求是高等研究院进行，网址：http://www.qaas.zju.edu.cn/BMI/index.asp。 报考医学院下属系统神经与认知科学研究所研究方向的考生，请填报生物医学工程与仪器科学学院，并在备注中注明。网址：http://www.ziint.zju.edu.cn/ 本院硕士专业学位研究生实行项目制培养，启动多项工程硕士培养项目，具体见学院官网后续相关通知，http://www.cbeis.zju.edu.cn/。 2023级新生实际执行收费标准，按照学校全日制专业学位研究生学费标准调整工作方案为4万元/生.全程。 注：883《生物医学工程综合》，主要内容包括：模拟电子技术、数字电子技术、生理学等。考试大纲、参考书等具体内容请访问浙江大学生物医学工程与仪器科学学院网站。</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13（其中高端测试仪器与装备项目4名，智能医疗技术及仪器工程项目3名，求高院1名，系统所4名，国家重点实验室（脑机）2名。以最终实际录取人数为准。）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12（其中高端测试仪器与装备项目4名，智能医疗技术及仪器工程项目4名，求高院1名，国家重点实验室（脑机）3名。以最终实际录取人数为准。）</w:t>
            </w:r>
          </w:p>
        </w:tc>
        <w:tc>
          <w:tcPr>
            <w:tcW w:w="0" w:type="auto"/>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生物医学工程与仪器科学学院(15)</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电子信息(0854)</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电子信息(085400)</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19</w:t>
            </w:r>
          </w:p>
        </w:tc>
        <w:tc>
          <w:tcPr>
            <w:tcW w:w="0" w:type="auto"/>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20</w:t>
            </w:r>
            <w:r>
              <w:rPr>
                <w:rFonts w:hint="eastAsia"/>
                <w:lang w:val="en-US" w:eastAsia="zh-CN"/>
              </w:rPr>
              <w:br w:type="textWrapping"/>
            </w:r>
          </w:p>
        </w:tc>
        <w:tc>
          <w:tcPr>
            <w:tcW w:w="0" w:type="auto"/>
            <w:shd w:val="clear"/>
            <w:vAlign w:val="center"/>
          </w:tcPr>
          <w:p>
            <w:pPr>
              <w:rPr>
                <w:rFonts w:hint="eastAsia"/>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38D5020F"/>
    <w:rsid w:val="4C8A5D4C"/>
    <w:rsid w:val="50EF43D0"/>
    <w:rsid w:val="516C3C72"/>
    <w:rsid w:val="73214465"/>
    <w:rsid w:val="73AA6208"/>
    <w:rsid w:val="7652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4507</Words>
  <Characters>5233</Characters>
  <Lines>0</Lines>
  <Paragraphs>0</Paragraphs>
  <TotalTime>13</TotalTime>
  <ScaleCrop>false</ScaleCrop>
  <LinksUpToDate>false</LinksUpToDate>
  <CharactersWithSpaces>5258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89C01AD580D347DAB2A0B413DEE12774</vt:lpwstr>
  </property>
</Properties>
</file>