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olor w:val="000000"/>
          <w:sz w:val="36"/>
          <w:szCs w:val="36"/>
        </w:rPr>
      </w:pPr>
      <w:r>
        <w:rPr>
          <w:rFonts w:hint="eastAsia" w:ascii="黑体" w:hAnsi="黑体" w:eastAsia="黑体"/>
          <w:color w:val="000000"/>
          <w:sz w:val="36"/>
          <w:szCs w:val="36"/>
        </w:rPr>
        <w:t>财政学  020203</w:t>
      </w:r>
    </w:p>
    <w:p>
      <w:pPr>
        <w:adjustRightInd w:val="0"/>
        <w:snapToGrid w:val="0"/>
        <w:spacing w:line="400" w:lineRule="exact"/>
        <w:ind w:firstLine="482" w:firstLineChars="200"/>
        <w:rPr>
          <w:rFonts w:ascii="宋体" w:hAnsi="宋体"/>
          <w:color w:val="000000"/>
          <w:sz w:val="24"/>
        </w:rPr>
      </w:pPr>
      <w:r>
        <w:rPr>
          <w:rFonts w:hint="eastAsia" w:ascii="宋体" w:hAnsi="宋体"/>
          <w:b/>
          <w:color w:val="000000"/>
          <w:sz w:val="24"/>
          <w:szCs w:val="20"/>
        </w:rPr>
        <w:t>学科点简介:</w:t>
      </w:r>
      <w:r>
        <w:rPr>
          <w:rFonts w:hint="eastAsia" w:ascii="宋体" w:hAnsi="宋体"/>
          <w:color w:val="000000"/>
          <w:sz w:val="24"/>
        </w:rPr>
        <w:t xml:space="preserve"> </w:t>
      </w:r>
      <w:bookmarkStart w:id="0" w:name="_Hlk485974782"/>
      <w:r>
        <w:rPr>
          <w:rFonts w:hint="eastAsia" w:ascii="宋体" w:hAnsi="宋体"/>
          <w:color w:val="000000"/>
          <w:sz w:val="24"/>
        </w:rPr>
        <w:t>本学科点是广东财经大学省级优势重点学科应用经济学的重要组成部分，其中财政学（含税收学）专业为国家级特色专业、广东省名牌专业和广东省一流专业建设点。本学科点拥有广东省普通高校人文社科重点研究基地“广东地方公共财政研究中心”、广东省重点实验室“广东省财税大数据重点实验室”、广东省协同育人平台“税收学专业协同育人基地”及与广州市税务局共建的国家级大学生实践教学基地等多个高层次平台。现有教授11人，副教授21，其中，国务院特殊津贴专家1 人，博士生导师2人，硕士生导师23人，客座教授21人。近3年学院教师承担各类科研项目1</w:t>
      </w:r>
      <w:r>
        <w:rPr>
          <w:rFonts w:hint="eastAsia" w:ascii="宋体" w:hAnsi="宋体" w:cs="宋体"/>
          <w:color w:val="000000"/>
          <w:sz w:val="24"/>
          <w:szCs w:val="20"/>
        </w:rPr>
        <w:t>07项，其中国家级和省部级项目15项，各类科研经费1036万元，出版专著、教材、编著7部，在《经济研究》等国内外核心刊物发表学术论文81篇，获省部级科研奖励2人次，获省部级以上批示5人次。近3年，财政学学术硕士毕业生中约有80%进入珠三角地区金融机构、国企、外企、知名事务所和机关事业单位工作。</w:t>
      </w:r>
      <w:r>
        <w:rPr>
          <w:rFonts w:hint="eastAsia" w:ascii="宋体" w:hAnsi="宋体"/>
          <w:color w:val="000000"/>
          <w:sz w:val="24"/>
        </w:rPr>
        <w:t>毕业生中涌现出全国十大杰出青年卫士、国家二级英模、国家级及省级税收征管能手、税务系统先进工作者等工作骨干以及知名企业家等一大批杰出校友。</w:t>
      </w:r>
      <w:bookmarkEnd w:id="0"/>
    </w:p>
    <w:p>
      <w:pPr>
        <w:snapToGrid w:val="0"/>
        <w:spacing w:line="400" w:lineRule="exact"/>
        <w:ind w:firstLine="482" w:firstLineChars="200"/>
        <w:rPr>
          <w:rFonts w:ascii="宋体" w:hAnsi="宋体"/>
          <w:color w:val="000000"/>
          <w:sz w:val="24"/>
        </w:rPr>
      </w:pPr>
      <w:r>
        <w:rPr>
          <w:rFonts w:hint="eastAsia" w:ascii="宋体" w:hAnsi="宋体"/>
          <w:b/>
          <w:color w:val="000000"/>
          <w:sz w:val="24"/>
        </w:rPr>
        <w:t>培养目标：</w:t>
      </w:r>
      <w:r>
        <w:rPr>
          <w:rFonts w:hint="eastAsia" w:ascii="宋体" w:hAnsi="宋体"/>
          <w:color w:val="000000"/>
          <w:sz w:val="24"/>
        </w:rPr>
        <w:t>本学科点致力于培养具有良好的政治觉悟、优秀的道德品质、扎实的经济学基础、较强的财税理论和实务能力，熟练掌握本学科研究方法，能够在党政部门和企事业单位承担财税领域的研究、教学等相关工作的高层次人才。</w:t>
      </w:r>
    </w:p>
    <w:p>
      <w:pPr>
        <w:spacing w:line="400" w:lineRule="exact"/>
        <w:ind w:firstLine="482" w:firstLineChars="200"/>
        <w:rPr>
          <w:rFonts w:ascii="宋体" w:hAnsi="宋体"/>
          <w:sz w:val="24"/>
        </w:rPr>
      </w:pPr>
      <w:r>
        <w:rPr>
          <w:rFonts w:hint="eastAsia" w:ascii="宋体" w:hAnsi="宋体"/>
          <w:b/>
          <w:color w:val="000000"/>
          <w:sz w:val="24"/>
        </w:rPr>
        <w:t>主要课程：</w:t>
      </w:r>
      <w:r>
        <w:rPr>
          <w:rFonts w:hint="eastAsia" w:ascii="仿宋_GB2312" w:eastAsia="仿宋_GB2312"/>
          <w:color w:val="000000"/>
          <w:szCs w:val="21"/>
        </w:rPr>
        <w:t xml:space="preserve"> </w:t>
      </w:r>
      <w:r>
        <w:rPr>
          <w:rFonts w:hint="eastAsia" w:ascii="宋体" w:hAnsi="宋体"/>
          <w:sz w:val="24"/>
        </w:rPr>
        <w:t>中级微观经济学、中级宏观经济学、计量经济学、公共财政学、税收经济学、政府预算与会计管理、财政政策与实务、税收政策与实务、财税管理信息系统、西方财税理论与制度（双语）、税收制度研究、税收管理与税收筹划、国际税收专题、财税应用系统的开发与设计等。</w:t>
      </w:r>
    </w:p>
    <w:p>
      <w:pPr>
        <w:spacing w:line="400" w:lineRule="exact"/>
        <w:ind w:firstLine="482" w:firstLineChars="200"/>
        <w:rPr>
          <w:rFonts w:ascii="宋体" w:hAnsi="宋体"/>
          <w:color w:val="000000"/>
          <w:sz w:val="24"/>
        </w:rPr>
      </w:pPr>
      <w:r>
        <w:rPr>
          <w:rFonts w:hint="eastAsia" w:ascii="宋体" w:hAnsi="宋体"/>
          <w:b/>
          <w:color w:val="000000"/>
          <w:sz w:val="24"/>
        </w:rPr>
        <w:t>就业方向：</w:t>
      </w:r>
      <w:r>
        <w:rPr>
          <w:rFonts w:hint="eastAsia" w:ascii="宋体" w:hAnsi="宋体"/>
          <w:color w:val="000000"/>
          <w:sz w:val="24"/>
        </w:rPr>
        <w:t>毕业生就业领域主要为财政、税务机关等党政</w:t>
      </w:r>
      <w:r>
        <w:rPr>
          <w:rFonts w:ascii="宋体" w:hAnsi="宋体"/>
          <w:color w:val="000000"/>
          <w:sz w:val="24"/>
        </w:rPr>
        <w:t>经济管理部门</w:t>
      </w:r>
      <w:r>
        <w:rPr>
          <w:rFonts w:hint="eastAsia" w:ascii="宋体" w:hAnsi="宋体"/>
          <w:color w:val="000000"/>
          <w:sz w:val="24"/>
        </w:rPr>
        <w:t>，科研单位、高等院校、中介机构、金融部门等各类企事业单位，还可以报考相关专业的博士研究生，继续求学深造。</w:t>
      </w:r>
    </w:p>
    <w:p>
      <w:pPr>
        <w:spacing w:line="400" w:lineRule="exact"/>
        <w:rPr>
          <w:rFonts w:ascii="宋体" w:hAnsi="宋体"/>
          <w:b/>
          <w:color w:val="000000"/>
          <w:sz w:val="24"/>
        </w:rPr>
      </w:pPr>
      <w:r>
        <w:rPr>
          <w:rFonts w:hint="eastAsia" w:ascii="宋体" w:hAnsi="宋体"/>
          <w:b/>
          <w:color w:val="000000"/>
          <w:sz w:val="24"/>
        </w:rPr>
        <w:t>专业代码：020203</w:t>
      </w:r>
      <w:r>
        <w:rPr>
          <w:rFonts w:ascii="宋体" w:hAnsi="宋体"/>
          <w:b/>
          <w:color w:val="000000"/>
          <w:sz w:val="24"/>
        </w:rPr>
        <w:t xml:space="preserve">    </w:t>
      </w:r>
      <w:r>
        <w:rPr>
          <w:rFonts w:hint="eastAsia" w:ascii="宋体" w:hAnsi="宋体"/>
          <w:b/>
          <w:color w:val="000000"/>
          <w:sz w:val="24"/>
        </w:rPr>
        <w:t xml:space="preserve">         咨询电话： 020-84096884</w:t>
      </w:r>
    </w:p>
    <w:tbl>
      <w:tblPr>
        <w:tblStyle w:val="4"/>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31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Align w:val="center"/>
          </w:tcPr>
          <w:p>
            <w:pPr>
              <w:jc w:val="center"/>
              <w:rPr>
                <w:rFonts w:ascii="宋体" w:hAnsi="宋体"/>
                <w:b/>
              </w:rPr>
            </w:pPr>
            <w:r>
              <w:rPr>
                <w:rFonts w:hint="eastAsia" w:ascii="宋体" w:hAnsi="宋体"/>
                <w:b/>
              </w:rPr>
              <w:t>序号</w:t>
            </w:r>
          </w:p>
        </w:tc>
        <w:tc>
          <w:tcPr>
            <w:tcW w:w="2268" w:type="dxa"/>
            <w:vAlign w:val="center"/>
          </w:tcPr>
          <w:p>
            <w:pPr>
              <w:jc w:val="center"/>
              <w:rPr>
                <w:rFonts w:ascii="宋体" w:hAnsi="宋体"/>
                <w:b/>
              </w:rPr>
            </w:pPr>
            <w:r>
              <w:rPr>
                <w:rFonts w:hint="eastAsia" w:ascii="宋体" w:hAnsi="宋体"/>
                <w:b/>
              </w:rPr>
              <w:t>研究方向</w:t>
            </w:r>
          </w:p>
        </w:tc>
        <w:tc>
          <w:tcPr>
            <w:tcW w:w="3119" w:type="dxa"/>
            <w:vAlign w:val="center"/>
          </w:tcPr>
          <w:p>
            <w:pPr>
              <w:jc w:val="center"/>
              <w:rPr>
                <w:rFonts w:ascii="宋体" w:hAnsi="宋体"/>
                <w:b/>
                <w:szCs w:val="21"/>
              </w:rPr>
            </w:pPr>
            <w:r>
              <w:rPr>
                <w:rFonts w:hint="eastAsia" w:ascii="宋体" w:hAnsi="宋体"/>
                <w:b/>
                <w:szCs w:val="21"/>
              </w:rPr>
              <w:t>初试科目</w:t>
            </w:r>
          </w:p>
        </w:tc>
        <w:tc>
          <w:tcPr>
            <w:tcW w:w="1984" w:type="dxa"/>
            <w:vAlign w:val="center"/>
          </w:tcPr>
          <w:p>
            <w:pPr>
              <w:jc w:val="center"/>
              <w:rPr>
                <w:rFonts w:ascii="宋体" w:hAnsi="宋体"/>
                <w:b/>
              </w:rPr>
            </w:pPr>
            <w:r>
              <w:rPr>
                <w:rFonts w:hint="eastAsia" w:ascii="宋体" w:hAnsi="宋体"/>
                <w:b/>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09" w:type="dxa"/>
            <w:vAlign w:val="center"/>
          </w:tcPr>
          <w:p>
            <w:pPr>
              <w:adjustRightInd w:val="0"/>
              <w:snapToGrid w:val="0"/>
              <w:rPr>
                <w:rFonts w:ascii="宋体" w:hAnsi="宋体" w:cs="宋体"/>
                <w:color w:val="000000"/>
                <w:sz w:val="24"/>
              </w:rPr>
            </w:pPr>
            <w:r>
              <w:rPr>
                <w:rFonts w:hint="eastAsia" w:ascii="宋体" w:hAnsi="宋体" w:cs="宋体"/>
                <w:color w:val="000000"/>
                <w:sz w:val="24"/>
              </w:rPr>
              <w:t>1</w:t>
            </w:r>
          </w:p>
        </w:tc>
        <w:tc>
          <w:tcPr>
            <w:tcW w:w="2268" w:type="dxa"/>
            <w:vAlign w:val="center"/>
          </w:tcPr>
          <w:p>
            <w:pPr>
              <w:adjustRightInd w:val="0"/>
              <w:snapToGrid w:val="0"/>
              <w:rPr>
                <w:rFonts w:ascii="宋体" w:hAnsi="宋体" w:cs="宋体"/>
                <w:color w:val="000000"/>
                <w:sz w:val="24"/>
              </w:rPr>
            </w:pPr>
            <w:r>
              <w:rPr>
                <w:rFonts w:hint="eastAsia" w:ascii="宋体" w:hAnsi="宋体" w:cs="宋体"/>
                <w:color w:val="000000"/>
                <w:sz w:val="24"/>
              </w:rPr>
              <w:t>税收理论与政策</w:t>
            </w:r>
          </w:p>
        </w:tc>
        <w:tc>
          <w:tcPr>
            <w:tcW w:w="3119"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（1）▲思想政治理论（100分）</w:t>
            </w:r>
          </w:p>
          <w:p>
            <w:pPr>
              <w:adjustRightInd w:val="0"/>
              <w:snapToGrid w:val="0"/>
              <w:rPr>
                <w:rFonts w:ascii="宋体" w:hAnsi="宋体" w:cs="宋体"/>
                <w:color w:val="000000"/>
                <w:sz w:val="24"/>
              </w:rPr>
            </w:pPr>
            <w:r>
              <w:rPr>
                <w:rFonts w:hint="eastAsia" w:ascii="宋体" w:hAnsi="宋体" w:cs="宋体"/>
                <w:color w:val="000000"/>
                <w:sz w:val="24"/>
              </w:rPr>
              <w:t>（2）▲英语一（100分）</w:t>
            </w:r>
          </w:p>
          <w:p>
            <w:pPr>
              <w:adjustRightInd w:val="0"/>
              <w:snapToGrid w:val="0"/>
              <w:rPr>
                <w:rFonts w:ascii="宋体" w:hAnsi="宋体" w:cs="宋体"/>
                <w:color w:val="000000"/>
                <w:sz w:val="24"/>
              </w:rPr>
            </w:pPr>
            <w:r>
              <w:rPr>
                <w:rFonts w:hint="eastAsia" w:ascii="宋体" w:hAnsi="宋体" w:cs="宋体"/>
                <w:color w:val="000000"/>
                <w:sz w:val="24"/>
              </w:rPr>
              <w:t>（3）▲数学三（150分）</w:t>
            </w:r>
          </w:p>
          <w:p>
            <w:pPr>
              <w:adjustRightInd w:val="0"/>
              <w:snapToGrid w:val="0"/>
              <w:rPr>
                <w:rFonts w:ascii="宋体" w:hAnsi="宋体" w:cs="宋体"/>
                <w:color w:val="000000"/>
                <w:sz w:val="24"/>
              </w:rPr>
            </w:pPr>
            <w:r>
              <w:rPr>
                <w:rFonts w:hint="eastAsia" w:ascii="宋体" w:hAnsi="宋体" w:cs="宋体"/>
                <w:color w:val="000000"/>
                <w:sz w:val="24"/>
              </w:rPr>
              <w:t>（4）经济学基础（150分）</w:t>
            </w:r>
          </w:p>
        </w:tc>
        <w:tc>
          <w:tcPr>
            <w:tcW w:w="1984"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F503-财政学（100分）</w:t>
            </w:r>
          </w:p>
          <w:p>
            <w:pPr>
              <w:adjustRightInd w:val="0"/>
              <w:snapToGrid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09" w:type="dxa"/>
            <w:vAlign w:val="center"/>
          </w:tcPr>
          <w:p>
            <w:pPr>
              <w:adjustRightInd w:val="0"/>
              <w:snapToGrid w:val="0"/>
              <w:rPr>
                <w:rFonts w:ascii="宋体" w:hAnsi="宋体" w:cs="宋体"/>
                <w:color w:val="000000"/>
                <w:sz w:val="24"/>
              </w:rPr>
            </w:pPr>
            <w:r>
              <w:rPr>
                <w:rFonts w:hint="eastAsia" w:ascii="宋体" w:hAnsi="宋体" w:cs="宋体"/>
                <w:color w:val="000000"/>
                <w:sz w:val="24"/>
              </w:rPr>
              <w:t>2</w:t>
            </w:r>
          </w:p>
        </w:tc>
        <w:tc>
          <w:tcPr>
            <w:tcW w:w="2268" w:type="dxa"/>
            <w:vAlign w:val="center"/>
          </w:tcPr>
          <w:p>
            <w:pPr>
              <w:adjustRightInd w:val="0"/>
              <w:snapToGrid w:val="0"/>
              <w:rPr>
                <w:rFonts w:ascii="宋体" w:hAnsi="宋体" w:cs="宋体"/>
                <w:color w:val="000000"/>
                <w:sz w:val="24"/>
              </w:rPr>
            </w:pPr>
            <w:r>
              <w:rPr>
                <w:rFonts w:hint="eastAsia" w:ascii="宋体" w:hAnsi="宋体" w:cs="宋体"/>
                <w:color w:val="000000"/>
                <w:sz w:val="24"/>
              </w:rPr>
              <w:t>财政理论与政策</w:t>
            </w:r>
          </w:p>
        </w:tc>
        <w:tc>
          <w:tcPr>
            <w:tcW w:w="3119" w:type="dxa"/>
            <w:vMerge w:val="continue"/>
            <w:vAlign w:val="center"/>
          </w:tcPr>
          <w:p>
            <w:pPr>
              <w:adjustRightInd w:val="0"/>
              <w:snapToGrid w:val="0"/>
              <w:rPr>
                <w:rFonts w:ascii="宋体" w:hAnsi="宋体" w:cs="宋体"/>
                <w:color w:val="000000"/>
                <w:sz w:val="24"/>
              </w:rPr>
            </w:pPr>
          </w:p>
        </w:tc>
        <w:tc>
          <w:tcPr>
            <w:tcW w:w="1984" w:type="dxa"/>
            <w:vMerge w:val="continue"/>
          </w:tcPr>
          <w:p>
            <w:pPr>
              <w:adjustRightInd w:val="0"/>
              <w:snapToGrid w:val="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09" w:type="dxa"/>
            <w:tcBorders>
              <w:bottom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3</w:t>
            </w:r>
          </w:p>
        </w:tc>
        <w:tc>
          <w:tcPr>
            <w:tcW w:w="2268" w:type="dxa"/>
            <w:tcBorders>
              <w:bottom w:val="single" w:color="auto" w:sz="4" w:space="0"/>
            </w:tcBorders>
            <w:vAlign w:val="center"/>
          </w:tcPr>
          <w:p>
            <w:pPr>
              <w:adjustRightInd w:val="0"/>
              <w:snapToGrid w:val="0"/>
              <w:rPr>
                <w:rFonts w:ascii="宋体" w:hAnsi="宋体"/>
                <w:iCs/>
                <w:sz w:val="24"/>
              </w:rPr>
            </w:pPr>
            <w:r>
              <w:rPr>
                <w:rFonts w:hint="eastAsia" w:ascii="宋体" w:hAnsi="宋体"/>
                <w:iCs/>
                <w:sz w:val="24"/>
              </w:rPr>
              <w:t>数字财税</w:t>
            </w:r>
          </w:p>
        </w:tc>
        <w:tc>
          <w:tcPr>
            <w:tcW w:w="3119" w:type="dxa"/>
            <w:vMerge w:val="continue"/>
            <w:tcBorders>
              <w:bottom w:val="single" w:color="auto" w:sz="4" w:space="0"/>
            </w:tcBorders>
            <w:vAlign w:val="center"/>
          </w:tcPr>
          <w:p>
            <w:pPr>
              <w:adjustRightInd w:val="0"/>
              <w:snapToGrid w:val="0"/>
              <w:rPr>
                <w:rFonts w:ascii="宋体" w:hAnsi="宋体" w:cs="宋体"/>
                <w:color w:val="000000"/>
                <w:sz w:val="24"/>
              </w:rPr>
            </w:pPr>
          </w:p>
        </w:tc>
        <w:tc>
          <w:tcPr>
            <w:tcW w:w="1984" w:type="dxa"/>
            <w:vMerge w:val="continue"/>
            <w:tcBorders>
              <w:bottom w:val="single" w:color="auto" w:sz="4" w:space="0"/>
            </w:tcBorders>
          </w:tcPr>
          <w:p>
            <w:pPr>
              <w:adjustRightInd w:val="0"/>
              <w:snapToGrid w:val="0"/>
              <w:rPr>
                <w:rFonts w:ascii="宋体" w:hAnsi="宋体" w:cs="宋体"/>
                <w:color w:val="000000"/>
                <w:sz w:val="24"/>
              </w:rPr>
            </w:pPr>
          </w:p>
        </w:tc>
      </w:tr>
    </w:tbl>
    <w:p>
      <w:pPr>
        <w:adjustRightInd w:val="0"/>
        <w:snapToGrid w:val="0"/>
        <w:rPr>
          <w:b/>
          <w:bCs/>
        </w:rPr>
      </w:pPr>
      <w:r>
        <w:rPr>
          <w:rFonts w:hint="eastAsia"/>
          <w:b/>
          <w:bCs/>
        </w:rPr>
        <w:t>▲</w:t>
      </w:r>
      <w:r>
        <w:rPr>
          <w:rFonts w:hint="eastAsia" w:ascii="仿宋_GB2312" w:hAnsi="宋体" w:eastAsia="仿宋_GB2312"/>
          <w:b/>
          <w:bCs/>
          <w:color w:val="000000"/>
          <w:sz w:val="24"/>
        </w:rPr>
        <w:t>表示统考科目或联考科目，考试题型、考试大纲以教育部公布为准,其他为自命题科目。</w:t>
      </w:r>
    </w:p>
    <w:p>
      <w:pPr>
        <w:snapToGrid w:val="0"/>
        <w:rPr>
          <w:rFonts w:eastAsia="黑体"/>
          <w:color w:val="FF00FF"/>
          <w:sz w:val="24"/>
        </w:rPr>
      </w:pPr>
    </w:p>
    <w:p>
      <w:pPr>
        <w:snapToGrid w:val="0"/>
        <w:rPr>
          <w:rFonts w:ascii="宋体" w:hAnsi="宋体" w:cs="宋体"/>
          <w:b/>
          <w:sz w:val="24"/>
        </w:rPr>
      </w:pPr>
      <w:r>
        <w:rPr>
          <w:rFonts w:hint="eastAsia" w:ascii="宋体" w:hAnsi="宋体" w:cs="宋体"/>
          <w:b/>
          <w:sz w:val="24"/>
        </w:rPr>
        <w:t>自命题考试题型及相应分值：</w:t>
      </w:r>
    </w:p>
    <w:p>
      <w:pPr>
        <w:adjustRightInd w:val="0"/>
        <w:snapToGrid w:val="0"/>
        <w:jc w:val="left"/>
        <w:rPr>
          <w:rFonts w:ascii="宋体" w:hAnsi="宋体" w:cs="宋体"/>
          <w:b/>
          <w:sz w:val="24"/>
        </w:rPr>
      </w:pPr>
      <w:r>
        <w:rPr>
          <w:rFonts w:hint="eastAsia" w:ascii="宋体" w:hAnsi="宋体" w:cs="宋体"/>
          <w:b/>
          <w:sz w:val="24"/>
        </w:rPr>
        <w:t>《经济学基础》</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（1）名词解释（6题，每题5分，共30分）</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（2）简答题（6题，每题10分，共60分）</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（3）论述题（2题，每题30分，共60分）</w:t>
      </w:r>
    </w:p>
    <w:p>
      <w:pPr>
        <w:widowControl/>
        <w:snapToGrid w:val="0"/>
        <w:spacing w:line="360" w:lineRule="auto"/>
        <w:rPr>
          <w:rFonts w:ascii="宋体" w:hAnsi="宋体" w:cs="宋体"/>
          <w:color w:val="000000"/>
          <w:sz w:val="24"/>
          <w:shd w:val="clear" w:color="auto" w:fill="FFFFFF"/>
        </w:rPr>
      </w:pPr>
      <w:r>
        <w:rPr>
          <w:rFonts w:hint="eastAsia" w:ascii="宋体" w:hAnsi="宋体" w:cs="宋体"/>
          <w:color w:val="000000"/>
          <w:sz w:val="24"/>
          <w:shd w:val="clear" w:color="auto" w:fill="FFFFFF"/>
        </w:rPr>
        <w:t>参考书目：高鸿业：《西方经济学(宏/微观)》第7版 ，中国人民大学出版社，2018年。</w:t>
      </w:r>
    </w:p>
    <w:p>
      <w:pPr>
        <w:adjustRightInd w:val="0"/>
        <w:snapToGrid w:val="0"/>
        <w:spacing w:line="360" w:lineRule="auto"/>
        <w:ind w:firstLine="120" w:firstLineChars="50"/>
        <w:jc w:val="left"/>
        <w:rPr>
          <w:rFonts w:ascii="宋体" w:hAnsi="宋体"/>
          <w:sz w:val="24"/>
        </w:rPr>
      </w:pPr>
    </w:p>
    <w:p>
      <w:pPr>
        <w:adjustRightInd w:val="0"/>
        <w:snapToGrid w:val="0"/>
        <w:spacing w:line="360" w:lineRule="auto"/>
        <w:rPr>
          <w:rFonts w:ascii="宋体" w:hAnsi="宋体"/>
          <w:b/>
          <w:sz w:val="24"/>
        </w:rPr>
      </w:pPr>
      <w:r>
        <w:rPr>
          <w:rFonts w:hint="eastAsia" w:ascii="宋体" w:hAnsi="宋体"/>
          <w:b/>
          <w:sz w:val="24"/>
        </w:rPr>
        <w:t>《财政学》</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（1）选择题（20题，每题1分，共20分）</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（2）简答题（5题，每题8分，共40分）</w:t>
      </w:r>
    </w:p>
    <w:p>
      <w:pPr>
        <w:widowControl/>
        <w:snapToGrid w:val="0"/>
        <w:spacing w:line="360" w:lineRule="auto"/>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（2）论述题（2题，每题20分，共40分）</w:t>
      </w:r>
    </w:p>
    <w:p>
      <w:pPr>
        <w:widowControl/>
        <w:snapToGrid w:val="0"/>
        <w:spacing w:line="360" w:lineRule="auto"/>
        <w:rPr>
          <w:rFonts w:ascii="宋体" w:hAnsi="宋体" w:cs="宋体"/>
          <w:color w:val="000000"/>
          <w:sz w:val="24"/>
          <w:shd w:val="clear" w:color="auto" w:fill="FFFFFF"/>
        </w:rPr>
      </w:pPr>
      <w:r>
        <w:rPr>
          <w:rFonts w:hint="eastAsia" w:ascii="宋体" w:hAnsi="宋体" w:cs="宋体"/>
          <w:color w:val="000000"/>
          <w:sz w:val="24"/>
          <w:shd w:val="clear" w:color="auto" w:fill="FFFFFF"/>
        </w:rPr>
        <w:t>参考书目：陈共：《财政学（第十版）》第十版，中国人民大学出版社，2020年。</w:t>
      </w:r>
    </w:p>
    <w:p>
      <w:pPr>
        <w:widowControl/>
        <w:snapToGrid w:val="0"/>
        <w:spacing w:line="360" w:lineRule="auto"/>
        <w:rPr>
          <w:rFonts w:ascii="宋体" w:hAnsi="宋体"/>
          <w:b/>
          <w:sz w:val="24"/>
        </w:rPr>
      </w:pPr>
      <w:r>
        <w:rPr>
          <w:rFonts w:hint="eastAsia" w:ascii="宋体" w:hAnsi="宋体"/>
          <w:b/>
          <w:sz w:val="24"/>
        </w:rPr>
        <w:t xml:space="preserve"> </w:t>
      </w:r>
      <w:r>
        <w:rPr>
          <w:rFonts w:ascii="宋体" w:hAnsi="宋体"/>
          <w:b/>
          <w:sz w:val="24"/>
        </w:rPr>
        <w:t xml:space="preserve">        </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公共财政概论编写组：《公共财政概论》，高等教育出版社，2</w:t>
      </w:r>
      <w:r>
        <w:rPr>
          <w:rFonts w:ascii="宋体" w:hAnsi="宋体" w:cs="宋体"/>
          <w:color w:val="000000"/>
          <w:sz w:val="24"/>
          <w:shd w:val="clear" w:color="auto" w:fill="FFFFFF"/>
        </w:rPr>
        <w:t>019</w:t>
      </w:r>
      <w:r>
        <w:rPr>
          <w:rFonts w:hint="eastAsia" w:ascii="宋体" w:hAnsi="宋体" w:cs="宋体"/>
          <w:color w:val="000000"/>
          <w:sz w:val="24"/>
          <w:shd w:val="clear" w:color="auto" w:fill="FFFFFF"/>
        </w:rPr>
        <w:t>年。</w:t>
      </w:r>
    </w:p>
    <w:p>
      <w:pPr>
        <w:adjustRightInd w:val="0"/>
        <w:snapToGrid w:val="0"/>
        <w:rPr>
          <w:rFonts w:ascii="宋体" w:hAnsi="宋体"/>
          <w:b/>
          <w:sz w:val="24"/>
        </w:rPr>
      </w:pPr>
    </w:p>
    <w:p>
      <w:pPr>
        <w:adjustRightInd w:val="0"/>
        <w:snapToGrid w:val="0"/>
        <w:rPr>
          <w:rFonts w:hint="eastAsia" w:ascii="宋体" w:hAnsi="宋体"/>
          <w:b/>
          <w:sz w:val="24"/>
        </w:rPr>
      </w:pPr>
      <w:r>
        <w:rPr>
          <w:rFonts w:hint="eastAsia" w:ascii="宋体" w:hAnsi="宋体"/>
          <w:b/>
          <w:sz w:val="24"/>
        </w:rPr>
        <w:t>考试大纲</w:t>
      </w:r>
    </w:p>
    <w:p>
      <w:pPr>
        <w:adjustRightInd w:val="0"/>
        <w:snapToGrid w:val="0"/>
        <w:jc w:val="center"/>
        <w:rPr>
          <w:rFonts w:ascii="宋体" w:hAnsi="宋体" w:cs="宋体"/>
          <w:b/>
          <w:bCs/>
          <w:kern w:val="0"/>
          <w:sz w:val="24"/>
          <w:szCs w:val="24"/>
        </w:rPr>
      </w:pPr>
      <w:r>
        <w:rPr>
          <w:rFonts w:hint="eastAsia" w:ascii="宋体" w:hAnsi="宋体" w:cs="宋体"/>
          <w:b/>
          <w:color w:val="000000"/>
          <w:kern w:val="0"/>
          <w:sz w:val="24"/>
          <w:szCs w:val="24"/>
        </w:rPr>
        <w:t xml:space="preserve">    </w:t>
      </w:r>
      <w:r>
        <w:rPr>
          <w:rFonts w:hint="eastAsia" w:ascii="黑体" w:hAnsi="宋体" w:eastAsia="黑体"/>
          <w:b/>
          <w:sz w:val="36"/>
          <w:szCs w:val="21"/>
        </w:rPr>
        <w:t>《经济学基础》</w:t>
      </w:r>
    </w:p>
    <w:p>
      <w:pPr>
        <w:adjustRightInd w:val="0"/>
        <w:snapToGrid w:val="0"/>
        <w:rPr>
          <w:rFonts w:hint="eastAsia" w:ascii="宋体" w:hAnsi="宋体" w:cs="宋体"/>
          <w:b/>
          <w:color w:val="000000"/>
          <w:kern w:val="0"/>
          <w:sz w:val="24"/>
          <w:szCs w:val="24"/>
        </w:rPr>
      </w:pPr>
    </w:p>
    <w:p>
      <w:pPr>
        <w:adjustRightInd w:val="0"/>
        <w:snapToGrid w:val="0"/>
        <w:rPr>
          <w:rFonts w:ascii="宋体" w:hAnsi="宋体" w:cs="宋体"/>
          <w:b/>
          <w:color w:val="000000"/>
          <w:kern w:val="0"/>
          <w:sz w:val="24"/>
          <w:szCs w:val="24"/>
        </w:rPr>
      </w:pPr>
      <w:r>
        <w:rPr>
          <w:rFonts w:hint="eastAsia" w:ascii="宋体" w:hAnsi="宋体" w:cs="宋体"/>
          <w:b/>
          <w:color w:val="000000"/>
          <w:kern w:val="0"/>
          <w:sz w:val="24"/>
          <w:szCs w:val="24"/>
        </w:rPr>
        <w:t>《经济学基础》考试大纲概述：</w:t>
      </w:r>
    </w:p>
    <w:p>
      <w:pPr>
        <w:widowControl/>
        <w:snapToGrid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理论，国民收入决定理论，产品与货币市场均衡理论，宏观经济政策分析，失业与通货膨胀理论等。测试学生对微观经济学和宏观经济学的基本原理、基本工具和方法的掌握程度，了解其是否具有初步应用这些基本原理和基本方法分析有关问题的能力。</w:t>
      </w:r>
    </w:p>
    <w:p>
      <w:pPr>
        <w:widowControl/>
        <w:snapToGrid w:val="0"/>
        <w:rPr>
          <w:rFonts w:hint="eastAsia" w:ascii="宋体" w:hAnsi="宋体" w:cs="宋体"/>
          <w:b/>
          <w:bCs/>
          <w:color w:val="000000"/>
          <w:sz w:val="24"/>
          <w:szCs w:val="24"/>
          <w:shd w:val="clear" w:color="auto" w:fill="FFFFFF"/>
        </w:rPr>
      </w:pPr>
    </w:p>
    <w:p>
      <w:pPr>
        <w:widowControl/>
        <w:snapToGrid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  微观经济理论</w:t>
      </w:r>
    </w:p>
    <w:p>
      <w:pPr>
        <w:widowControl/>
        <w:snapToGrid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pPr>
        <w:numPr>
          <w:ilvl w:val="0"/>
          <w:numId w:val="1"/>
        </w:numPr>
        <w:shd w:val="solid" w:color="FFFFFF" w:fill="auto"/>
        <w:autoSpaceDN w:val="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需求、需求表、需求曲线与需求规律      影响需求的因素：需求函数</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需求定理                              需求量的变动与需求的变动</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 xml:space="preserve"> 供给、供给表、供给曲线                影响供给的因素：供给函数</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供给定理                              供给量的变动与供给的变动</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                    需求与供给变动对均衡的影响</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              影响需求弹性的因素</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基数效用论与序数效用论     总效用与边际效用      边际效用递减规律</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无差异曲线及特征           消费可能线（预算线）   消费者均衡</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消费者剩余                    消费者行为与需求定理</w:t>
      </w:r>
    </w:p>
    <w:p>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pPr>
        <w:shd w:val="solid" w:color="FFFFFF" w:fill="auto"/>
        <w:autoSpaceDN w:val="0"/>
        <w:outlineLvl w:val="0"/>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             机会成本在企业决策中的作用</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短期成本的分类                 各类短期成本的变动规律及其关系</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                     长期平均成本          长期边际成本</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     利润最大化原则</w:t>
      </w:r>
    </w:p>
    <w:p>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市场结构类型                   市场结构与企业行为的关系</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完全竞争市场含义与特征     完全竞争市场需求曲线、平均收益与边际收益</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利润最大化的基本原则       完全竞争市场上的短期均衡与长期均衡</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垄断竞争市场上的产品差别竞争    </w:t>
      </w:r>
    </w:p>
    <w:p>
      <w:pPr>
        <w:shd w:val="solid" w:color="FFFFFF" w:fill="auto"/>
        <w:autoSpaceDN w:val="0"/>
        <w:rPr>
          <w:rFonts w:hint="eastAsia" w:ascii="宋体" w:hAnsi="宋体" w:cs="宋体"/>
          <w:b/>
          <w:bCs/>
          <w:color w:val="000000"/>
          <w:sz w:val="24"/>
          <w:szCs w:val="24"/>
          <w:shd w:val="clear" w:color="auto" w:fill="FFFFFF"/>
        </w:rPr>
      </w:pPr>
    </w:p>
    <w:p>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  宏观经济理论</w:t>
      </w:r>
    </w:p>
    <w:p>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国内生产总值的含义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实际国内生产总值与名义国内生产总值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                       失业率</w:t>
      </w:r>
    </w:p>
    <w:p>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                  边际效率</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                预期收益与投资</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三、宏观经济政策分析 </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                         货币政策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         财政政策和货币政策的混合使用</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充分就业                         价格稳定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                 国际收支平衡。</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                     自动稳定与相机抉择的财政政策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               充分就业预算盈余与财政政策方向</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               存款创造和货币供给</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       货币政策及其工具</w:t>
      </w:r>
    </w:p>
    <w:p>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失业的分类                       自然失业率和自然就业率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                       奥肯定律</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通货膨胀的含义与分类             通货膨胀对经济的影响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通货膨胀的原因                   需求拉动的通货膨胀理论    </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           其他通货膨胀理论</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               菲利普斯曲线的政策含义</w:t>
      </w:r>
    </w:p>
    <w:p>
      <w:pPr>
        <w:widowControl/>
        <w:snapToGrid w:val="0"/>
        <w:spacing w:line="360" w:lineRule="auto"/>
        <w:rPr>
          <w:rFonts w:ascii="宋体" w:hAnsi="宋体" w:cs="宋体"/>
          <w:color w:val="000000"/>
          <w:sz w:val="24"/>
          <w:shd w:val="clear" w:color="auto" w:fill="FFFFFF"/>
        </w:rPr>
      </w:pPr>
      <w:bookmarkStart w:id="1" w:name="_GoBack"/>
      <w:bookmarkEnd w:id="1"/>
    </w:p>
    <w:p>
      <w:pPr>
        <w:widowControl/>
        <w:snapToGrid w:val="0"/>
        <w:jc w:val="center"/>
        <w:rPr>
          <w:rFonts w:ascii="黑体" w:hAnsi="仿宋_GB2312" w:eastAsia="黑体" w:cs="仿宋_GB2312"/>
          <w:b/>
          <w:bCs/>
          <w:kern w:val="0"/>
          <w:sz w:val="36"/>
          <w:szCs w:val="36"/>
        </w:rPr>
      </w:pPr>
      <w:r>
        <w:rPr>
          <w:rFonts w:hint="eastAsia" w:ascii="黑体" w:hAnsi="仿宋_GB2312" w:eastAsia="黑体" w:cs="仿宋_GB2312"/>
          <w:b/>
          <w:bCs/>
          <w:kern w:val="0"/>
          <w:sz w:val="36"/>
          <w:szCs w:val="36"/>
        </w:rPr>
        <w:t>《财政学》</w:t>
      </w:r>
    </w:p>
    <w:p>
      <w:pPr>
        <w:adjustRightInd w:val="0"/>
        <w:snapToGrid w:val="0"/>
        <w:spacing w:line="360" w:lineRule="auto"/>
        <w:jc w:val="left"/>
        <w:rPr>
          <w:rFonts w:ascii="宋体" w:hAnsi="宋体"/>
          <w:b/>
          <w:sz w:val="24"/>
        </w:rPr>
      </w:pPr>
      <w:r>
        <w:rPr>
          <w:rFonts w:hint="eastAsia" w:ascii="宋体" w:hAnsi="宋体"/>
          <w:b/>
          <w:sz w:val="24"/>
        </w:rPr>
        <w:t>《财政学》考试大纲概述：</w:t>
      </w:r>
    </w:p>
    <w:p>
      <w:pPr>
        <w:adjustRightInd w:val="0"/>
        <w:snapToGrid w:val="0"/>
        <w:spacing w:line="360" w:lineRule="auto"/>
        <w:ind w:firstLine="600" w:firstLineChars="250"/>
        <w:jc w:val="left"/>
        <w:rPr>
          <w:rFonts w:ascii="宋体" w:hAnsi="宋体"/>
          <w:sz w:val="24"/>
        </w:rPr>
      </w:pPr>
      <w:r>
        <w:rPr>
          <w:rFonts w:hint="eastAsia" w:ascii="宋体" w:hAnsi="宋体"/>
          <w:sz w:val="24"/>
        </w:rPr>
        <w:t>本课程考试要求学生了解和掌握财政学的基本理论和基本知识，具体包括财政概念与职能、财政支出基本理论和具体内容、财政收入基本理论、税收理论、国债理论，财政管理及平衡、财政政策等。要求学生能够运用所学理论、知识和方法解决财政领域中的相关问题，为以后的专业学习、理论研究和实际工作奠定坚实的基础。</w:t>
      </w:r>
    </w:p>
    <w:p>
      <w:pPr>
        <w:adjustRightInd w:val="0"/>
        <w:snapToGrid w:val="0"/>
        <w:spacing w:line="360" w:lineRule="auto"/>
        <w:rPr>
          <w:rFonts w:ascii="宋体" w:hAnsi="宋体"/>
          <w:sz w:val="24"/>
        </w:rPr>
      </w:pPr>
      <w:r>
        <w:rPr>
          <w:rFonts w:hint="eastAsia" w:ascii="宋体" w:hAnsi="宋体"/>
          <w:sz w:val="24"/>
        </w:rPr>
        <w:t>一、财政概念和财政职能</w:t>
      </w:r>
    </w:p>
    <w:p>
      <w:pPr>
        <w:numPr>
          <w:ilvl w:val="0"/>
          <w:numId w:val="3"/>
        </w:numPr>
        <w:adjustRightInd w:val="0"/>
        <w:snapToGrid w:val="0"/>
        <w:spacing w:line="360" w:lineRule="auto"/>
        <w:rPr>
          <w:rFonts w:ascii="宋体" w:hAnsi="宋体"/>
          <w:sz w:val="24"/>
        </w:rPr>
      </w:pPr>
      <w:r>
        <w:rPr>
          <w:rFonts w:hint="eastAsia" w:ascii="宋体" w:hAnsi="宋体"/>
          <w:sz w:val="24"/>
        </w:rPr>
        <w:t>政府与市场</w:t>
      </w:r>
    </w:p>
    <w:p>
      <w:pPr>
        <w:numPr>
          <w:ilvl w:val="0"/>
          <w:numId w:val="3"/>
        </w:numPr>
        <w:adjustRightInd w:val="0"/>
        <w:snapToGrid w:val="0"/>
        <w:spacing w:line="360" w:lineRule="auto"/>
        <w:rPr>
          <w:rFonts w:ascii="宋体" w:hAnsi="宋体"/>
          <w:sz w:val="24"/>
        </w:rPr>
      </w:pPr>
      <w:r>
        <w:rPr>
          <w:rFonts w:hint="eastAsia" w:ascii="宋体" w:hAnsi="宋体"/>
          <w:sz w:val="24"/>
        </w:rPr>
        <w:t>财政概念</w:t>
      </w:r>
    </w:p>
    <w:p>
      <w:pPr>
        <w:numPr>
          <w:ilvl w:val="0"/>
          <w:numId w:val="3"/>
        </w:numPr>
        <w:adjustRightInd w:val="0"/>
        <w:snapToGrid w:val="0"/>
        <w:spacing w:line="360" w:lineRule="auto"/>
        <w:rPr>
          <w:rFonts w:ascii="宋体" w:hAnsi="宋体"/>
          <w:sz w:val="24"/>
        </w:rPr>
      </w:pPr>
      <w:r>
        <w:rPr>
          <w:rFonts w:hint="eastAsia" w:ascii="宋体" w:hAnsi="宋体"/>
          <w:sz w:val="24"/>
        </w:rPr>
        <w:t>财政职能</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二、财政支出的基本理论</w:t>
      </w:r>
    </w:p>
    <w:p>
      <w:pPr>
        <w:numPr>
          <w:ilvl w:val="0"/>
          <w:numId w:val="4"/>
        </w:numPr>
        <w:adjustRightInd w:val="0"/>
        <w:snapToGrid w:val="0"/>
        <w:spacing w:line="360" w:lineRule="auto"/>
        <w:rPr>
          <w:rFonts w:ascii="宋体" w:hAnsi="宋体"/>
          <w:sz w:val="24"/>
        </w:rPr>
      </w:pPr>
      <w:r>
        <w:rPr>
          <w:rFonts w:hint="eastAsia" w:ascii="宋体" w:hAnsi="宋体"/>
          <w:sz w:val="24"/>
        </w:rPr>
        <w:t>公共物品的提供、生产和定价</w:t>
      </w:r>
    </w:p>
    <w:p>
      <w:pPr>
        <w:numPr>
          <w:ilvl w:val="0"/>
          <w:numId w:val="4"/>
        </w:numPr>
        <w:adjustRightInd w:val="0"/>
        <w:snapToGrid w:val="0"/>
        <w:spacing w:line="360" w:lineRule="auto"/>
        <w:rPr>
          <w:rFonts w:ascii="宋体" w:hAnsi="宋体"/>
          <w:sz w:val="24"/>
        </w:rPr>
      </w:pPr>
      <w:r>
        <w:rPr>
          <w:rFonts w:hint="eastAsia" w:ascii="宋体" w:hAnsi="宋体"/>
          <w:sz w:val="24"/>
        </w:rPr>
        <w:t>财政支出效益的分析和评价</w:t>
      </w:r>
    </w:p>
    <w:p>
      <w:pPr>
        <w:numPr>
          <w:ilvl w:val="0"/>
          <w:numId w:val="4"/>
        </w:numPr>
        <w:adjustRightInd w:val="0"/>
        <w:snapToGrid w:val="0"/>
        <w:spacing w:line="360" w:lineRule="auto"/>
        <w:rPr>
          <w:rFonts w:ascii="宋体" w:hAnsi="宋体"/>
          <w:sz w:val="24"/>
        </w:rPr>
      </w:pPr>
      <w:r>
        <w:rPr>
          <w:rFonts w:hint="eastAsia" w:ascii="宋体" w:hAnsi="宋体"/>
          <w:sz w:val="24"/>
        </w:rPr>
        <w:t>财政的法制化、民主化和财政监督</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三、 财政支出规模与结构分析</w:t>
      </w:r>
    </w:p>
    <w:p>
      <w:pPr>
        <w:numPr>
          <w:ilvl w:val="0"/>
          <w:numId w:val="5"/>
        </w:numPr>
        <w:adjustRightInd w:val="0"/>
        <w:snapToGrid w:val="0"/>
        <w:spacing w:line="360" w:lineRule="auto"/>
        <w:rPr>
          <w:rFonts w:ascii="宋体" w:hAnsi="宋体"/>
          <w:sz w:val="24"/>
        </w:rPr>
      </w:pPr>
      <w:r>
        <w:rPr>
          <w:rFonts w:hint="eastAsia" w:ascii="宋体" w:hAnsi="宋体"/>
          <w:sz w:val="24"/>
        </w:rPr>
        <w:t>财政支出分类</w:t>
      </w:r>
    </w:p>
    <w:p>
      <w:pPr>
        <w:numPr>
          <w:ilvl w:val="0"/>
          <w:numId w:val="5"/>
        </w:numPr>
        <w:adjustRightInd w:val="0"/>
        <w:snapToGrid w:val="0"/>
        <w:spacing w:line="360" w:lineRule="auto"/>
        <w:rPr>
          <w:rFonts w:ascii="宋体" w:hAnsi="宋体"/>
          <w:sz w:val="24"/>
        </w:rPr>
      </w:pPr>
      <w:r>
        <w:rPr>
          <w:rFonts w:hint="eastAsia" w:ascii="宋体" w:hAnsi="宋体"/>
          <w:sz w:val="24"/>
        </w:rPr>
        <w:t>财政支出规模分析</w:t>
      </w:r>
    </w:p>
    <w:p>
      <w:pPr>
        <w:numPr>
          <w:ilvl w:val="0"/>
          <w:numId w:val="5"/>
        </w:numPr>
        <w:adjustRightInd w:val="0"/>
        <w:snapToGrid w:val="0"/>
        <w:spacing w:line="360" w:lineRule="auto"/>
        <w:rPr>
          <w:rFonts w:ascii="宋体" w:hAnsi="宋体"/>
          <w:sz w:val="24"/>
        </w:rPr>
      </w:pPr>
      <w:r>
        <w:rPr>
          <w:rFonts w:hint="eastAsia" w:ascii="宋体" w:hAnsi="宋体"/>
          <w:sz w:val="24"/>
        </w:rPr>
        <w:t>财政支出结构分析</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四、社会消费性支出——购买性支出之一</w:t>
      </w:r>
    </w:p>
    <w:p>
      <w:pPr>
        <w:numPr>
          <w:ilvl w:val="0"/>
          <w:numId w:val="6"/>
        </w:numPr>
        <w:adjustRightInd w:val="0"/>
        <w:snapToGrid w:val="0"/>
        <w:spacing w:line="360" w:lineRule="auto"/>
        <w:rPr>
          <w:rFonts w:ascii="宋体" w:hAnsi="宋体"/>
          <w:sz w:val="24"/>
        </w:rPr>
      </w:pPr>
      <w:r>
        <w:rPr>
          <w:rFonts w:hint="eastAsia" w:ascii="宋体" w:hAnsi="宋体"/>
          <w:sz w:val="24"/>
        </w:rPr>
        <w:t>社会消费性支出的性质</w:t>
      </w:r>
    </w:p>
    <w:p>
      <w:pPr>
        <w:numPr>
          <w:ilvl w:val="0"/>
          <w:numId w:val="6"/>
        </w:numPr>
        <w:adjustRightInd w:val="0"/>
        <w:snapToGrid w:val="0"/>
        <w:spacing w:line="360" w:lineRule="auto"/>
        <w:rPr>
          <w:rFonts w:ascii="宋体" w:hAnsi="宋体"/>
          <w:sz w:val="24"/>
        </w:rPr>
      </w:pPr>
      <w:r>
        <w:rPr>
          <w:rFonts w:hint="eastAsia" w:ascii="宋体" w:hAnsi="宋体"/>
          <w:sz w:val="24"/>
        </w:rPr>
        <w:t>行政管理费和国防费</w:t>
      </w:r>
    </w:p>
    <w:p>
      <w:pPr>
        <w:numPr>
          <w:ilvl w:val="0"/>
          <w:numId w:val="6"/>
        </w:numPr>
        <w:adjustRightInd w:val="0"/>
        <w:snapToGrid w:val="0"/>
        <w:spacing w:line="360" w:lineRule="auto"/>
        <w:rPr>
          <w:rFonts w:ascii="宋体" w:hAnsi="宋体"/>
          <w:sz w:val="24"/>
        </w:rPr>
      </w:pPr>
      <w:r>
        <w:rPr>
          <w:rFonts w:hint="eastAsia" w:ascii="宋体" w:hAnsi="宋体"/>
          <w:sz w:val="24"/>
        </w:rPr>
        <w:t>文科卫支出</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五、财政投资性支出——购买性支出之二</w:t>
      </w:r>
    </w:p>
    <w:p>
      <w:pPr>
        <w:numPr>
          <w:ilvl w:val="0"/>
          <w:numId w:val="6"/>
        </w:numPr>
        <w:adjustRightInd w:val="0"/>
        <w:snapToGrid w:val="0"/>
        <w:spacing w:line="360" w:lineRule="auto"/>
        <w:rPr>
          <w:rFonts w:ascii="宋体" w:hAnsi="宋体"/>
          <w:sz w:val="24"/>
        </w:rPr>
      </w:pPr>
      <w:r>
        <w:rPr>
          <w:rFonts w:hint="eastAsia" w:ascii="宋体" w:hAnsi="宋体"/>
          <w:sz w:val="24"/>
        </w:rPr>
        <w:t>财政投资性支出的一般分析</w:t>
      </w:r>
    </w:p>
    <w:p>
      <w:pPr>
        <w:numPr>
          <w:ilvl w:val="0"/>
          <w:numId w:val="6"/>
        </w:numPr>
        <w:adjustRightInd w:val="0"/>
        <w:snapToGrid w:val="0"/>
        <w:spacing w:line="360" w:lineRule="auto"/>
        <w:rPr>
          <w:rFonts w:ascii="宋体" w:hAnsi="宋体"/>
          <w:sz w:val="24"/>
        </w:rPr>
      </w:pPr>
      <w:r>
        <w:rPr>
          <w:rFonts w:hint="eastAsia" w:ascii="宋体" w:hAnsi="宋体"/>
          <w:sz w:val="24"/>
        </w:rPr>
        <w:t>基础设施投资</w:t>
      </w:r>
    </w:p>
    <w:p>
      <w:pPr>
        <w:numPr>
          <w:ilvl w:val="0"/>
          <w:numId w:val="6"/>
        </w:numPr>
        <w:adjustRightInd w:val="0"/>
        <w:snapToGrid w:val="0"/>
        <w:spacing w:line="360" w:lineRule="auto"/>
        <w:rPr>
          <w:rFonts w:ascii="宋体" w:hAnsi="宋体"/>
          <w:sz w:val="24"/>
        </w:rPr>
      </w:pPr>
      <w:r>
        <w:rPr>
          <w:rFonts w:hint="eastAsia" w:ascii="宋体" w:hAnsi="宋体"/>
          <w:sz w:val="24"/>
        </w:rPr>
        <w:t>财政用于“三农”的投人</w:t>
      </w:r>
    </w:p>
    <w:p>
      <w:pPr>
        <w:numPr>
          <w:ilvl w:val="0"/>
          <w:numId w:val="6"/>
        </w:numPr>
        <w:adjustRightInd w:val="0"/>
        <w:snapToGrid w:val="0"/>
        <w:spacing w:line="360" w:lineRule="auto"/>
        <w:rPr>
          <w:rFonts w:ascii="宋体" w:hAnsi="宋体"/>
          <w:sz w:val="24"/>
        </w:rPr>
      </w:pPr>
      <w:r>
        <w:rPr>
          <w:rFonts w:hint="eastAsia" w:ascii="宋体" w:hAnsi="宋体"/>
          <w:sz w:val="24"/>
        </w:rPr>
        <w:t>财政投融资制度</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六、转移性支出</w:t>
      </w:r>
    </w:p>
    <w:p>
      <w:pPr>
        <w:numPr>
          <w:ilvl w:val="0"/>
          <w:numId w:val="6"/>
        </w:numPr>
        <w:adjustRightInd w:val="0"/>
        <w:snapToGrid w:val="0"/>
        <w:spacing w:line="360" w:lineRule="auto"/>
        <w:rPr>
          <w:rFonts w:ascii="宋体" w:hAnsi="宋体"/>
          <w:sz w:val="24"/>
        </w:rPr>
      </w:pPr>
      <w:r>
        <w:rPr>
          <w:rFonts w:hint="eastAsia" w:ascii="宋体" w:hAnsi="宋体"/>
          <w:sz w:val="24"/>
        </w:rPr>
        <w:t>社会保障支出</w:t>
      </w:r>
    </w:p>
    <w:p>
      <w:pPr>
        <w:numPr>
          <w:ilvl w:val="0"/>
          <w:numId w:val="6"/>
        </w:numPr>
        <w:adjustRightInd w:val="0"/>
        <w:snapToGrid w:val="0"/>
        <w:spacing w:line="360" w:lineRule="auto"/>
        <w:rPr>
          <w:rFonts w:ascii="宋体" w:hAnsi="宋体"/>
          <w:sz w:val="24"/>
        </w:rPr>
      </w:pPr>
      <w:r>
        <w:rPr>
          <w:rFonts w:hint="eastAsia" w:ascii="宋体" w:hAnsi="宋体"/>
          <w:sz w:val="24"/>
        </w:rPr>
        <w:t>财政补贴</w:t>
      </w:r>
    </w:p>
    <w:p>
      <w:pPr>
        <w:numPr>
          <w:ilvl w:val="0"/>
          <w:numId w:val="6"/>
        </w:numPr>
        <w:adjustRightInd w:val="0"/>
        <w:snapToGrid w:val="0"/>
        <w:spacing w:line="360" w:lineRule="auto"/>
        <w:rPr>
          <w:rFonts w:ascii="宋体" w:hAnsi="宋体"/>
          <w:sz w:val="24"/>
        </w:rPr>
      </w:pPr>
      <w:r>
        <w:rPr>
          <w:rFonts w:hint="eastAsia" w:ascii="宋体" w:hAnsi="宋体"/>
          <w:sz w:val="24"/>
        </w:rPr>
        <w:t>税收支出</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七、 财政收入规模与构成分析</w:t>
      </w:r>
    </w:p>
    <w:p>
      <w:pPr>
        <w:numPr>
          <w:ilvl w:val="0"/>
          <w:numId w:val="6"/>
        </w:numPr>
        <w:adjustRightInd w:val="0"/>
        <w:snapToGrid w:val="0"/>
        <w:spacing w:line="360" w:lineRule="auto"/>
        <w:rPr>
          <w:rFonts w:ascii="宋体" w:hAnsi="宋体"/>
          <w:sz w:val="24"/>
        </w:rPr>
      </w:pPr>
      <w:r>
        <w:rPr>
          <w:rFonts w:hint="eastAsia" w:ascii="宋体" w:hAnsi="宋体"/>
          <w:sz w:val="24"/>
        </w:rPr>
        <w:t>财政收入分类</w:t>
      </w:r>
    </w:p>
    <w:p>
      <w:pPr>
        <w:numPr>
          <w:ilvl w:val="0"/>
          <w:numId w:val="6"/>
        </w:numPr>
        <w:adjustRightInd w:val="0"/>
        <w:snapToGrid w:val="0"/>
        <w:spacing w:line="360" w:lineRule="auto"/>
        <w:rPr>
          <w:rFonts w:ascii="宋体" w:hAnsi="宋体"/>
          <w:sz w:val="24"/>
        </w:rPr>
      </w:pPr>
      <w:r>
        <w:rPr>
          <w:rFonts w:hint="eastAsia" w:ascii="宋体" w:hAnsi="宋体"/>
          <w:sz w:val="24"/>
        </w:rPr>
        <w:t>财政收入(预算内)规模的影响因素及我国的实证分析</w:t>
      </w:r>
    </w:p>
    <w:p>
      <w:pPr>
        <w:numPr>
          <w:ilvl w:val="0"/>
          <w:numId w:val="6"/>
        </w:numPr>
        <w:adjustRightInd w:val="0"/>
        <w:snapToGrid w:val="0"/>
        <w:spacing w:line="360" w:lineRule="auto"/>
        <w:rPr>
          <w:rFonts w:ascii="宋体" w:hAnsi="宋体"/>
          <w:sz w:val="24"/>
        </w:rPr>
      </w:pPr>
      <w:r>
        <w:rPr>
          <w:rFonts w:hint="eastAsia" w:ascii="宋体" w:hAnsi="宋体"/>
          <w:sz w:val="24"/>
        </w:rPr>
        <w:t>我国当前财政收入规模水平的分析和评估</w:t>
      </w:r>
    </w:p>
    <w:p>
      <w:pPr>
        <w:numPr>
          <w:ilvl w:val="0"/>
          <w:numId w:val="6"/>
        </w:numPr>
        <w:adjustRightInd w:val="0"/>
        <w:snapToGrid w:val="0"/>
        <w:spacing w:line="360" w:lineRule="auto"/>
        <w:rPr>
          <w:rFonts w:ascii="宋体" w:hAnsi="宋体"/>
          <w:sz w:val="24"/>
        </w:rPr>
      </w:pPr>
      <w:r>
        <w:rPr>
          <w:rFonts w:hint="eastAsia" w:ascii="宋体" w:hAnsi="宋体"/>
          <w:sz w:val="24"/>
        </w:rPr>
        <w:t>财政收入形式构成和预算外资金分析</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八、 税收原理</w:t>
      </w:r>
    </w:p>
    <w:p>
      <w:pPr>
        <w:numPr>
          <w:ilvl w:val="0"/>
          <w:numId w:val="6"/>
        </w:numPr>
        <w:adjustRightInd w:val="0"/>
        <w:snapToGrid w:val="0"/>
        <w:spacing w:line="360" w:lineRule="auto"/>
        <w:rPr>
          <w:rFonts w:ascii="宋体" w:hAnsi="宋体"/>
          <w:sz w:val="24"/>
        </w:rPr>
      </w:pPr>
      <w:r>
        <w:rPr>
          <w:rFonts w:hint="eastAsia" w:ascii="宋体" w:hAnsi="宋体"/>
          <w:sz w:val="24"/>
        </w:rPr>
        <w:t>什么是税收</w:t>
      </w:r>
    </w:p>
    <w:p>
      <w:pPr>
        <w:numPr>
          <w:ilvl w:val="0"/>
          <w:numId w:val="6"/>
        </w:numPr>
        <w:adjustRightInd w:val="0"/>
        <w:snapToGrid w:val="0"/>
        <w:spacing w:line="360" w:lineRule="auto"/>
        <w:rPr>
          <w:rFonts w:ascii="宋体" w:hAnsi="宋体"/>
          <w:sz w:val="24"/>
        </w:rPr>
      </w:pPr>
      <w:r>
        <w:rPr>
          <w:rFonts w:hint="eastAsia" w:ascii="宋体" w:hAnsi="宋体"/>
          <w:sz w:val="24"/>
        </w:rPr>
        <w:t>税收术语和税收分类</w:t>
      </w:r>
    </w:p>
    <w:p>
      <w:pPr>
        <w:numPr>
          <w:ilvl w:val="0"/>
          <w:numId w:val="6"/>
        </w:numPr>
        <w:adjustRightInd w:val="0"/>
        <w:snapToGrid w:val="0"/>
        <w:spacing w:line="360" w:lineRule="auto"/>
        <w:rPr>
          <w:rFonts w:ascii="宋体" w:hAnsi="宋体"/>
          <w:sz w:val="24"/>
        </w:rPr>
      </w:pPr>
      <w:r>
        <w:rPr>
          <w:rFonts w:hint="eastAsia" w:ascii="宋体" w:hAnsi="宋体"/>
          <w:sz w:val="24"/>
        </w:rPr>
        <w:t>税收原则</w:t>
      </w:r>
    </w:p>
    <w:p>
      <w:pPr>
        <w:numPr>
          <w:ilvl w:val="0"/>
          <w:numId w:val="6"/>
        </w:numPr>
        <w:adjustRightInd w:val="0"/>
        <w:snapToGrid w:val="0"/>
        <w:spacing w:line="360" w:lineRule="auto"/>
        <w:rPr>
          <w:rFonts w:ascii="宋体" w:hAnsi="宋体"/>
          <w:sz w:val="24"/>
        </w:rPr>
      </w:pPr>
      <w:r>
        <w:rPr>
          <w:rFonts w:hint="eastAsia" w:ascii="宋体" w:hAnsi="宋体"/>
          <w:sz w:val="24"/>
        </w:rPr>
        <w:t>税负的转嫁与归宿</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九、税收的经济效应</w:t>
      </w:r>
    </w:p>
    <w:p>
      <w:pPr>
        <w:numPr>
          <w:ilvl w:val="0"/>
          <w:numId w:val="6"/>
        </w:numPr>
        <w:adjustRightInd w:val="0"/>
        <w:snapToGrid w:val="0"/>
        <w:spacing w:line="360" w:lineRule="auto"/>
        <w:rPr>
          <w:rFonts w:ascii="宋体" w:hAnsi="宋体"/>
          <w:sz w:val="24"/>
        </w:rPr>
      </w:pPr>
      <w:r>
        <w:rPr>
          <w:rFonts w:hint="eastAsia" w:ascii="宋体" w:hAnsi="宋体"/>
          <w:sz w:val="24"/>
        </w:rPr>
        <w:t>税收的经济效应的作用机制</w:t>
      </w:r>
    </w:p>
    <w:p>
      <w:pPr>
        <w:numPr>
          <w:ilvl w:val="0"/>
          <w:numId w:val="6"/>
        </w:numPr>
        <w:adjustRightInd w:val="0"/>
        <w:snapToGrid w:val="0"/>
        <w:spacing w:line="360" w:lineRule="auto"/>
        <w:rPr>
          <w:rFonts w:ascii="宋体" w:hAnsi="宋体"/>
          <w:sz w:val="24"/>
        </w:rPr>
      </w:pPr>
      <w:r>
        <w:rPr>
          <w:rFonts w:hint="eastAsia" w:ascii="宋体" w:hAnsi="宋体"/>
          <w:sz w:val="24"/>
        </w:rPr>
        <w:t>税收的经济影响</w:t>
      </w:r>
    </w:p>
    <w:p>
      <w:pPr>
        <w:numPr>
          <w:ilvl w:val="0"/>
          <w:numId w:val="6"/>
        </w:numPr>
        <w:adjustRightInd w:val="0"/>
        <w:snapToGrid w:val="0"/>
        <w:spacing w:line="360" w:lineRule="auto"/>
        <w:rPr>
          <w:rFonts w:ascii="宋体" w:hAnsi="宋体"/>
          <w:sz w:val="24"/>
        </w:rPr>
      </w:pPr>
      <w:r>
        <w:rPr>
          <w:rFonts w:hint="eastAsia" w:ascii="宋体" w:hAnsi="宋体"/>
          <w:sz w:val="24"/>
        </w:rPr>
        <w:t>税收与经济发展</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 税收制度</w:t>
      </w:r>
    </w:p>
    <w:p>
      <w:pPr>
        <w:numPr>
          <w:ilvl w:val="0"/>
          <w:numId w:val="6"/>
        </w:numPr>
        <w:adjustRightInd w:val="0"/>
        <w:snapToGrid w:val="0"/>
        <w:spacing w:line="360" w:lineRule="auto"/>
        <w:rPr>
          <w:rFonts w:ascii="宋体" w:hAnsi="宋体"/>
          <w:sz w:val="24"/>
        </w:rPr>
      </w:pPr>
      <w:r>
        <w:rPr>
          <w:rFonts w:hint="eastAsia" w:ascii="宋体" w:hAnsi="宋体"/>
          <w:sz w:val="24"/>
        </w:rPr>
        <w:t>我国税收制度的历史演变</w:t>
      </w:r>
    </w:p>
    <w:p>
      <w:pPr>
        <w:numPr>
          <w:ilvl w:val="0"/>
          <w:numId w:val="6"/>
        </w:numPr>
        <w:adjustRightInd w:val="0"/>
        <w:snapToGrid w:val="0"/>
        <w:spacing w:line="360" w:lineRule="auto"/>
        <w:rPr>
          <w:rFonts w:ascii="宋体" w:hAnsi="宋体"/>
          <w:sz w:val="24"/>
        </w:rPr>
      </w:pPr>
      <w:r>
        <w:rPr>
          <w:rFonts w:hint="eastAsia" w:ascii="宋体" w:hAnsi="宋体"/>
          <w:sz w:val="24"/>
        </w:rPr>
        <w:t>商品课税</w:t>
      </w:r>
    </w:p>
    <w:p>
      <w:pPr>
        <w:numPr>
          <w:ilvl w:val="0"/>
          <w:numId w:val="6"/>
        </w:numPr>
        <w:adjustRightInd w:val="0"/>
        <w:snapToGrid w:val="0"/>
        <w:spacing w:line="360" w:lineRule="auto"/>
        <w:rPr>
          <w:rFonts w:ascii="宋体" w:hAnsi="宋体"/>
          <w:sz w:val="24"/>
        </w:rPr>
      </w:pPr>
      <w:r>
        <w:rPr>
          <w:rFonts w:hint="eastAsia" w:ascii="宋体" w:hAnsi="宋体"/>
          <w:sz w:val="24"/>
        </w:rPr>
        <w:t>所得课税</w:t>
      </w:r>
    </w:p>
    <w:p>
      <w:pPr>
        <w:numPr>
          <w:ilvl w:val="0"/>
          <w:numId w:val="6"/>
        </w:numPr>
        <w:adjustRightInd w:val="0"/>
        <w:snapToGrid w:val="0"/>
        <w:spacing w:line="360" w:lineRule="auto"/>
        <w:rPr>
          <w:rFonts w:ascii="宋体" w:hAnsi="宋体"/>
          <w:sz w:val="24"/>
        </w:rPr>
      </w:pPr>
      <w:r>
        <w:rPr>
          <w:rFonts w:hint="eastAsia" w:ascii="宋体" w:hAnsi="宋体"/>
          <w:sz w:val="24"/>
        </w:rPr>
        <w:t>资源课税与财产课税</w:t>
      </w:r>
    </w:p>
    <w:p>
      <w:pPr>
        <w:numPr>
          <w:ilvl w:val="0"/>
          <w:numId w:val="6"/>
        </w:numPr>
        <w:adjustRightInd w:val="0"/>
        <w:snapToGrid w:val="0"/>
        <w:spacing w:line="360" w:lineRule="auto"/>
        <w:rPr>
          <w:rFonts w:ascii="宋体" w:hAnsi="宋体"/>
          <w:sz w:val="24"/>
        </w:rPr>
      </w:pPr>
      <w:r>
        <w:rPr>
          <w:rFonts w:hint="eastAsia" w:ascii="宋体" w:hAnsi="宋体"/>
          <w:sz w:val="24"/>
        </w:rPr>
        <w:t>我国税收征管制度</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十一、 税制改革的理论与实践</w:t>
      </w:r>
    </w:p>
    <w:p>
      <w:pPr>
        <w:numPr>
          <w:ilvl w:val="0"/>
          <w:numId w:val="6"/>
        </w:numPr>
        <w:adjustRightInd w:val="0"/>
        <w:snapToGrid w:val="0"/>
        <w:spacing w:line="360" w:lineRule="auto"/>
        <w:rPr>
          <w:rFonts w:ascii="宋体" w:hAnsi="宋体"/>
          <w:sz w:val="24"/>
        </w:rPr>
      </w:pPr>
      <w:r>
        <w:rPr>
          <w:rFonts w:hint="eastAsia" w:ascii="宋体" w:hAnsi="宋体"/>
          <w:sz w:val="24"/>
        </w:rPr>
        <w:t>工商税制改革</w:t>
      </w:r>
    </w:p>
    <w:p>
      <w:pPr>
        <w:numPr>
          <w:ilvl w:val="0"/>
          <w:numId w:val="6"/>
        </w:numPr>
        <w:adjustRightInd w:val="0"/>
        <w:snapToGrid w:val="0"/>
        <w:spacing w:line="360" w:lineRule="auto"/>
        <w:rPr>
          <w:rFonts w:ascii="宋体" w:hAnsi="宋体"/>
          <w:sz w:val="24"/>
        </w:rPr>
      </w:pPr>
      <w:r>
        <w:rPr>
          <w:rFonts w:hint="eastAsia" w:ascii="宋体" w:hAnsi="宋体"/>
          <w:sz w:val="24"/>
        </w:rPr>
        <w:t>我国工商税制改革的基本思路和方向</w:t>
      </w:r>
    </w:p>
    <w:p>
      <w:pPr>
        <w:numPr>
          <w:ilvl w:val="0"/>
          <w:numId w:val="6"/>
        </w:numPr>
        <w:adjustRightInd w:val="0"/>
        <w:snapToGrid w:val="0"/>
        <w:spacing w:line="360" w:lineRule="auto"/>
        <w:rPr>
          <w:rFonts w:ascii="宋体" w:hAnsi="宋体"/>
          <w:sz w:val="24"/>
        </w:rPr>
      </w:pPr>
      <w:r>
        <w:rPr>
          <w:rFonts w:hint="eastAsia" w:ascii="宋体" w:hAnsi="宋体"/>
          <w:sz w:val="24"/>
        </w:rPr>
        <w:t>农村税费改革</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十二、 国债和国债市场</w:t>
      </w:r>
    </w:p>
    <w:p>
      <w:pPr>
        <w:numPr>
          <w:ilvl w:val="0"/>
          <w:numId w:val="6"/>
        </w:numPr>
        <w:adjustRightInd w:val="0"/>
        <w:snapToGrid w:val="0"/>
        <w:spacing w:line="360" w:lineRule="auto"/>
        <w:rPr>
          <w:rFonts w:ascii="宋体" w:hAnsi="宋体"/>
          <w:sz w:val="24"/>
        </w:rPr>
      </w:pPr>
      <w:r>
        <w:rPr>
          <w:rFonts w:hint="eastAsia" w:ascii="宋体" w:hAnsi="宋体"/>
          <w:sz w:val="24"/>
        </w:rPr>
        <w:t>国债原理</w:t>
      </w:r>
    </w:p>
    <w:p>
      <w:pPr>
        <w:numPr>
          <w:ilvl w:val="0"/>
          <w:numId w:val="6"/>
        </w:numPr>
        <w:adjustRightInd w:val="0"/>
        <w:snapToGrid w:val="0"/>
        <w:spacing w:line="360" w:lineRule="auto"/>
        <w:rPr>
          <w:rFonts w:ascii="宋体" w:hAnsi="宋体"/>
          <w:sz w:val="24"/>
        </w:rPr>
      </w:pPr>
      <w:r>
        <w:rPr>
          <w:rFonts w:hint="eastAsia" w:ascii="宋体" w:hAnsi="宋体"/>
          <w:sz w:val="24"/>
        </w:rPr>
        <w:t>国债的经济效应和政策功能</w:t>
      </w:r>
    </w:p>
    <w:p>
      <w:pPr>
        <w:numPr>
          <w:ilvl w:val="0"/>
          <w:numId w:val="6"/>
        </w:numPr>
        <w:adjustRightInd w:val="0"/>
        <w:snapToGrid w:val="0"/>
        <w:spacing w:line="360" w:lineRule="auto"/>
        <w:rPr>
          <w:rFonts w:ascii="宋体" w:hAnsi="宋体"/>
          <w:sz w:val="24"/>
        </w:rPr>
      </w:pPr>
      <w:r>
        <w:rPr>
          <w:rFonts w:hint="eastAsia" w:ascii="宋体" w:hAnsi="宋体"/>
          <w:sz w:val="24"/>
        </w:rPr>
        <w:t>我国债务负担率及债务依存度的分析</w:t>
      </w:r>
    </w:p>
    <w:p>
      <w:pPr>
        <w:numPr>
          <w:ilvl w:val="0"/>
          <w:numId w:val="6"/>
        </w:numPr>
        <w:adjustRightInd w:val="0"/>
        <w:snapToGrid w:val="0"/>
        <w:spacing w:line="360" w:lineRule="auto"/>
        <w:rPr>
          <w:rFonts w:ascii="宋体" w:hAnsi="宋体"/>
          <w:sz w:val="24"/>
        </w:rPr>
      </w:pPr>
      <w:r>
        <w:rPr>
          <w:rFonts w:hint="eastAsia" w:ascii="宋体" w:hAnsi="宋体"/>
          <w:sz w:val="24"/>
        </w:rPr>
        <w:t>国债市场及其功能</w:t>
      </w:r>
    </w:p>
    <w:p>
      <w:pPr>
        <w:numPr>
          <w:ilvl w:val="0"/>
          <w:numId w:val="6"/>
        </w:numPr>
        <w:adjustRightInd w:val="0"/>
        <w:snapToGrid w:val="0"/>
        <w:spacing w:line="360" w:lineRule="auto"/>
        <w:rPr>
          <w:rFonts w:ascii="宋体" w:hAnsi="宋体"/>
          <w:sz w:val="24"/>
        </w:rPr>
      </w:pPr>
      <w:r>
        <w:rPr>
          <w:rFonts w:hint="eastAsia" w:ascii="宋体" w:hAnsi="宋体"/>
          <w:sz w:val="24"/>
        </w:rPr>
        <w:t>政府直接隐性债务和或有债务</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十三、 国家预算和预算管理体制</w:t>
      </w:r>
    </w:p>
    <w:p>
      <w:pPr>
        <w:numPr>
          <w:ilvl w:val="0"/>
          <w:numId w:val="6"/>
        </w:numPr>
        <w:adjustRightInd w:val="0"/>
        <w:snapToGrid w:val="0"/>
        <w:spacing w:line="360" w:lineRule="auto"/>
        <w:rPr>
          <w:rFonts w:ascii="宋体" w:hAnsi="宋体"/>
          <w:sz w:val="24"/>
        </w:rPr>
      </w:pPr>
      <w:r>
        <w:rPr>
          <w:rFonts w:hint="eastAsia" w:ascii="宋体" w:hAnsi="宋体"/>
          <w:sz w:val="24"/>
        </w:rPr>
        <w:t>国家预算概述</w:t>
      </w:r>
    </w:p>
    <w:p>
      <w:pPr>
        <w:numPr>
          <w:ilvl w:val="0"/>
          <w:numId w:val="6"/>
        </w:numPr>
        <w:adjustRightInd w:val="0"/>
        <w:snapToGrid w:val="0"/>
        <w:spacing w:line="360" w:lineRule="auto"/>
        <w:rPr>
          <w:rFonts w:ascii="宋体" w:hAnsi="宋体"/>
          <w:sz w:val="24"/>
        </w:rPr>
      </w:pPr>
      <w:r>
        <w:rPr>
          <w:rFonts w:hint="eastAsia" w:ascii="宋体" w:hAnsi="宋体"/>
          <w:sz w:val="24"/>
        </w:rPr>
        <w:t>我国预算管理制度的改革和建设</w:t>
      </w:r>
    </w:p>
    <w:p>
      <w:pPr>
        <w:numPr>
          <w:ilvl w:val="0"/>
          <w:numId w:val="6"/>
        </w:numPr>
        <w:adjustRightInd w:val="0"/>
        <w:snapToGrid w:val="0"/>
        <w:spacing w:line="360" w:lineRule="auto"/>
        <w:rPr>
          <w:rFonts w:ascii="宋体" w:hAnsi="宋体"/>
          <w:sz w:val="24"/>
        </w:rPr>
      </w:pPr>
      <w:r>
        <w:rPr>
          <w:rFonts w:hint="eastAsia" w:ascii="宋体" w:hAnsi="宋体"/>
          <w:sz w:val="24"/>
        </w:rPr>
        <w:t>中国分税制改革</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十四、 财政平衡和财政赤字</w:t>
      </w:r>
    </w:p>
    <w:p>
      <w:pPr>
        <w:numPr>
          <w:ilvl w:val="0"/>
          <w:numId w:val="6"/>
        </w:numPr>
        <w:adjustRightInd w:val="0"/>
        <w:snapToGrid w:val="0"/>
        <w:spacing w:line="360" w:lineRule="auto"/>
        <w:rPr>
          <w:rFonts w:ascii="宋体" w:hAnsi="宋体"/>
          <w:sz w:val="24"/>
        </w:rPr>
      </w:pPr>
      <w:r>
        <w:rPr>
          <w:rFonts w:hint="eastAsia" w:ascii="宋体" w:hAnsi="宋体"/>
          <w:sz w:val="24"/>
        </w:rPr>
        <w:t>财政平衡与财政赤字概述</w:t>
      </w:r>
    </w:p>
    <w:p>
      <w:pPr>
        <w:numPr>
          <w:ilvl w:val="0"/>
          <w:numId w:val="6"/>
        </w:numPr>
        <w:adjustRightInd w:val="0"/>
        <w:snapToGrid w:val="0"/>
        <w:spacing w:line="360" w:lineRule="auto"/>
        <w:rPr>
          <w:rFonts w:ascii="宋体" w:hAnsi="宋体"/>
          <w:sz w:val="24"/>
        </w:rPr>
      </w:pPr>
      <w:r>
        <w:rPr>
          <w:rFonts w:hint="eastAsia" w:ascii="宋体" w:hAnsi="宋体"/>
          <w:sz w:val="24"/>
        </w:rPr>
        <w:t>财政赤字与社会总供求平衡</w:t>
      </w:r>
    </w:p>
    <w:p>
      <w:pPr>
        <w:numPr>
          <w:ilvl w:val="0"/>
          <w:numId w:val="6"/>
        </w:numPr>
        <w:adjustRightInd w:val="0"/>
        <w:snapToGrid w:val="0"/>
        <w:spacing w:line="360" w:lineRule="auto"/>
        <w:rPr>
          <w:rFonts w:ascii="宋体" w:hAnsi="宋体"/>
          <w:sz w:val="24"/>
        </w:rPr>
      </w:pPr>
      <w:r>
        <w:rPr>
          <w:rFonts w:hint="eastAsia" w:ascii="宋体" w:hAnsi="宋体"/>
          <w:sz w:val="24"/>
        </w:rPr>
        <w:t>运用IS-LM模型分析财政赤字的经济效应</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十五、 财政政策</w:t>
      </w:r>
    </w:p>
    <w:p>
      <w:pPr>
        <w:numPr>
          <w:ilvl w:val="0"/>
          <w:numId w:val="6"/>
        </w:numPr>
        <w:adjustRightInd w:val="0"/>
        <w:snapToGrid w:val="0"/>
        <w:spacing w:line="360" w:lineRule="auto"/>
        <w:rPr>
          <w:rFonts w:ascii="宋体" w:hAnsi="宋体"/>
          <w:sz w:val="24"/>
        </w:rPr>
      </w:pPr>
      <w:r>
        <w:rPr>
          <w:rFonts w:hint="eastAsia" w:ascii="宋体" w:hAnsi="宋体"/>
          <w:sz w:val="24"/>
        </w:rPr>
        <w:t>财政政策概述</w:t>
      </w:r>
    </w:p>
    <w:p>
      <w:pPr>
        <w:numPr>
          <w:ilvl w:val="0"/>
          <w:numId w:val="6"/>
        </w:numPr>
        <w:adjustRightInd w:val="0"/>
        <w:snapToGrid w:val="0"/>
        <w:spacing w:line="360" w:lineRule="auto"/>
        <w:rPr>
          <w:rFonts w:ascii="宋体" w:hAnsi="宋体"/>
          <w:sz w:val="24"/>
        </w:rPr>
      </w:pPr>
      <w:r>
        <w:rPr>
          <w:rFonts w:hint="eastAsia" w:ascii="宋体" w:hAnsi="宋体"/>
          <w:sz w:val="24"/>
        </w:rPr>
        <w:t>财政政策的传导和效应</w:t>
      </w:r>
    </w:p>
    <w:p>
      <w:pPr>
        <w:numPr>
          <w:ilvl w:val="0"/>
          <w:numId w:val="6"/>
        </w:numPr>
        <w:adjustRightInd w:val="0"/>
        <w:snapToGrid w:val="0"/>
        <w:spacing w:line="360" w:lineRule="auto"/>
        <w:rPr>
          <w:rFonts w:ascii="宋体" w:hAnsi="宋体"/>
          <w:sz w:val="24"/>
        </w:rPr>
      </w:pPr>
      <w:r>
        <w:rPr>
          <w:rFonts w:hint="eastAsia" w:ascii="宋体" w:hAnsi="宋体"/>
          <w:sz w:val="24"/>
        </w:rPr>
        <w:t>财政政策与货币政策的配合</w:t>
      </w:r>
    </w:p>
    <w:p>
      <w:pPr>
        <w:numPr>
          <w:ilvl w:val="0"/>
          <w:numId w:val="6"/>
        </w:numPr>
        <w:adjustRightInd w:val="0"/>
        <w:snapToGrid w:val="0"/>
        <w:spacing w:line="360" w:lineRule="auto"/>
        <w:rPr>
          <w:rFonts w:ascii="宋体" w:hAnsi="宋体"/>
          <w:sz w:val="24"/>
        </w:rPr>
      </w:pPr>
      <w:r>
        <w:rPr>
          <w:rFonts w:hint="eastAsia" w:ascii="宋体" w:hAnsi="宋体"/>
          <w:sz w:val="24"/>
        </w:rPr>
        <w:t>我国财政政策的实践和经验</w:t>
      </w:r>
    </w:p>
    <w:p>
      <w:pPr>
        <w:rPr>
          <w:rFonts w:ascii="宋体" w:hAnsi="宋体"/>
          <w:sz w:val="24"/>
        </w:rPr>
      </w:pPr>
    </w:p>
    <w:p>
      <w:pPr>
        <w:rPr>
          <w:rFonts w:ascii="宋体" w:hAnsi="宋体"/>
          <w:sz w:val="24"/>
        </w:rPr>
      </w:pPr>
      <w:r>
        <w:rPr>
          <w:rFonts w:hint="eastAsia" w:ascii="宋体" w:hAnsi="宋体"/>
          <w:sz w:val="24"/>
        </w:rPr>
        <w:t>十六、 开放经济下的财政问题</w:t>
      </w:r>
    </w:p>
    <w:p>
      <w:pPr>
        <w:numPr>
          <w:ilvl w:val="0"/>
          <w:numId w:val="6"/>
        </w:numPr>
        <w:adjustRightInd w:val="0"/>
        <w:snapToGrid w:val="0"/>
        <w:spacing w:line="360" w:lineRule="auto"/>
        <w:rPr>
          <w:rFonts w:ascii="宋体" w:hAnsi="宋体"/>
          <w:sz w:val="24"/>
        </w:rPr>
      </w:pPr>
      <w:r>
        <w:rPr>
          <w:rFonts w:ascii="宋体" w:hAnsi="宋体"/>
          <w:sz w:val="24"/>
        </w:rPr>
        <w:t xml:space="preserve">国际税收 </w:t>
      </w:r>
    </w:p>
    <w:p>
      <w:pPr>
        <w:numPr>
          <w:ilvl w:val="0"/>
          <w:numId w:val="6"/>
        </w:numPr>
        <w:adjustRightInd w:val="0"/>
        <w:snapToGrid w:val="0"/>
        <w:spacing w:line="360" w:lineRule="auto"/>
        <w:rPr>
          <w:rFonts w:ascii="宋体" w:hAnsi="宋体"/>
          <w:sz w:val="24"/>
        </w:rPr>
      </w:pPr>
      <w:r>
        <w:rPr>
          <w:rFonts w:ascii="宋体" w:hAnsi="宋体"/>
          <w:sz w:val="24"/>
        </w:rPr>
        <w:t xml:space="preserve">关税 </w:t>
      </w:r>
    </w:p>
    <w:p>
      <w:pPr>
        <w:numPr>
          <w:ilvl w:val="0"/>
          <w:numId w:val="6"/>
        </w:numPr>
        <w:adjustRightInd w:val="0"/>
        <w:snapToGrid w:val="0"/>
        <w:spacing w:line="360" w:lineRule="auto"/>
        <w:rPr>
          <w:rFonts w:ascii="宋体" w:hAnsi="宋体"/>
          <w:sz w:val="24"/>
        </w:rPr>
      </w:pPr>
      <w:r>
        <w:rPr>
          <w:rFonts w:ascii="宋体" w:hAnsi="宋体"/>
          <w:sz w:val="24"/>
        </w:rPr>
        <w:t>出口退税</w:t>
      </w:r>
    </w:p>
    <w:p>
      <w:pPr>
        <w:numPr>
          <w:ilvl w:val="0"/>
          <w:numId w:val="6"/>
        </w:numPr>
        <w:adjustRightInd w:val="0"/>
        <w:snapToGrid w:val="0"/>
        <w:spacing w:line="360" w:lineRule="auto"/>
        <w:rPr>
          <w:rFonts w:ascii="宋体" w:hAnsi="宋体"/>
          <w:sz w:val="24"/>
        </w:rPr>
      </w:pPr>
      <w:r>
        <w:rPr>
          <w:rFonts w:ascii="宋体" w:hAnsi="宋体"/>
          <w:sz w:val="24"/>
        </w:rPr>
        <w:t xml:space="preserve">外债 </w:t>
      </w:r>
    </w:p>
    <w:p>
      <w:pPr>
        <w:adjustRightInd w:val="0"/>
        <w:snapToGrid w:val="0"/>
        <w:spacing w:line="360" w:lineRule="auto"/>
        <w:rPr>
          <w:rFonts w:ascii="宋体" w:hAnsi="宋体"/>
          <w:sz w:val="24"/>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6"/>
      </w:rPr>
      <w:instrText xml:space="preserve"> PAGE </w:instrText>
    </w:r>
    <w:r>
      <w:fldChar w:fldCharType="separate"/>
    </w:r>
    <w:r>
      <w:rPr>
        <w:rStyle w:val="6"/>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BB94D4F"/>
    <w:multiLevelType w:val="multilevel"/>
    <w:tmpl w:val="1BB94D4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5DF778B"/>
    <w:multiLevelType w:val="multilevel"/>
    <w:tmpl w:val="35DF778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6B1B3B19"/>
    <w:multiLevelType w:val="multilevel"/>
    <w:tmpl w:val="6B1B3B1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75A47380"/>
    <w:multiLevelType w:val="multilevel"/>
    <w:tmpl w:val="75A4738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DNhZjFmOTYxYTk2YzAzNTk5NDJiOTdmZTc5MTYifQ=="/>
  </w:docVars>
  <w:rsids>
    <w:rsidRoot w:val="79786509"/>
    <w:rsid w:val="000254E8"/>
    <w:rsid w:val="001B4B46"/>
    <w:rsid w:val="001E0F22"/>
    <w:rsid w:val="00306C3F"/>
    <w:rsid w:val="00331F6E"/>
    <w:rsid w:val="003917D7"/>
    <w:rsid w:val="004C671A"/>
    <w:rsid w:val="005B1280"/>
    <w:rsid w:val="008F165F"/>
    <w:rsid w:val="00BB760C"/>
    <w:rsid w:val="00C07EBB"/>
    <w:rsid w:val="00D637A8"/>
    <w:rsid w:val="00E2252A"/>
    <w:rsid w:val="00E829E6"/>
    <w:rsid w:val="050109B6"/>
    <w:rsid w:val="247C5D24"/>
    <w:rsid w:val="38533016"/>
    <w:rsid w:val="4C9979C4"/>
    <w:rsid w:val="79786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3905</Words>
  <Characters>3978</Characters>
  <Lines>36</Lines>
  <Paragraphs>10</Paragraphs>
  <TotalTime>0</TotalTime>
  <ScaleCrop>false</ScaleCrop>
  <LinksUpToDate>false</LinksUpToDate>
  <CharactersWithSpaces>4877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2022-07-04T04:21:00Z</dcterms:created>
  <dc:creator>Admin</dc:creator>
  <cp:lastModifiedBy>Lenovo</cp:lastModifiedBy>
  <cp:lastPrinted>2022-07-05T00:45:00Z</cp:lastPrinted>
  <dcterms:modified xsi:type="dcterms:W3CDTF">2022-09-16T07:01:57Z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B25FF1D741A8478194B7FA39A9B173C3</vt:lpwstr>
  </property>
</Properties>
</file>