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黑体"/>
          <w:bCs/>
          <w:color w:val="000000"/>
          <w:sz w:val="36"/>
          <w:szCs w:val="36"/>
        </w:rPr>
      </w:pPr>
      <w:r>
        <w:rPr>
          <w:rFonts w:hint="eastAsia" w:ascii="黑体" w:hAnsi="黑体" w:eastAsia="黑体" w:cs="黑体"/>
          <w:bCs/>
          <w:color w:val="000000"/>
          <w:sz w:val="36"/>
          <w:szCs w:val="36"/>
        </w:rPr>
        <w:t>统计学027000</w:t>
      </w:r>
    </w:p>
    <w:p>
      <w:pPr>
        <w:adjustRightInd w:val="0"/>
        <w:snapToGrid w:val="0"/>
        <w:jc w:val="center"/>
        <w:rPr>
          <w:rFonts w:asciiTheme="minorEastAsia" w:hAnsiTheme="minorEastAsia" w:eastAsiaTheme="minorEastAsia" w:cstheme="minorEastAsia"/>
          <w:color w:val="000000"/>
          <w:sz w:val="24"/>
          <w:szCs w:val="24"/>
        </w:rPr>
      </w:pPr>
    </w:p>
    <w:p>
      <w:pPr>
        <w:widowControl/>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学科点简介：</w:t>
      </w:r>
      <w:r>
        <w:rPr>
          <w:rFonts w:hint="eastAsia" w:asciiTheme="minorEastAsia" w:hAnsiTheme="minorEastAsia" w:eastAsiaTheme="minorEastAsia" w:cstheme="minorEastAsia"/>
          <w:sz w:val="24"/>
          <w:szCs w:val="24"/>
        </w:rPr>
        <w:t>统计学是我校一级学科硕士学位授权点（授经济学学位），校级重点学科。现有教授</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人、副教授8人、具有博士学位15人。近年来，主持承担国家自科、国家社科、教育部人文社科等国家级和省部级项目20余项；出版专著、译著和教材10多部；在《统计研究》《数理统计与管理》等专业学术刊物上发表论文250余篇；获省部级科研教研成果奖9项；近3年总科研经费达7</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0万元；培养的研究生获“南粤优秀研究生”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“广东省百篇优秀硕士学位论文”</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“国家奖学金”等各项荣誉，毕业后都政府统计和金融部门、高校、银行证券保险公司和市场调查咨询机构工作。</w:t>
      </w:r>
    </w:p>
    <w:p>
      <w:pPr>
        <w:widowControl/>
        <w:snapToGrid w:val="0"/>
        <w:ind w:firstLine="470" w:firstLineChars="196"/>
        <w:rPr>
          <w:rFonts w:asciiTheme="minorEastAsia" w:hAnsiTheme="minorEastAsia" w:eastAsiaTheme="minorEastAsia" w:cstheme="minorEastAsia"/>
          <w:sz w:val="24"/>
          <w:szCs w:val="24"/>
        </w:rPr>
      </w:pPr>
      <w:bookmarkStart w:id="0" w:name="_GoBack"/>
      <w:bookmarkEnd w:id="0"/>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培养目标：</w:t>
      </w:r>
      <w:r>
        <w:rPr>
          <w:rFonts w:hint="eastAsia" w:asciiTheme="minorEastAsia" w:hAnsiTheme="minorEastAsia" w:eastAsiaTheme="minorEastAsia" w:cstheme="minorEastAsia"/>
          <w:sz w:val="24"/>
          <w:szCs w:val="24"/>
        </w:rPr>
        <w:t>本学科点致力于培养热爱祖国，热爱社会主义、自觉坚持党的基本路线，能够掌握统计学基本理论与方法，并用之解释、分析现实经济和社会问题，具有良好的道德品质和开拓精神以及体魄健康的统计高层次人才。</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主要课程：</w:t>
      </w:r>
      <w:r>
        <w:rPr>
          <w:rFonts w:hint="eastAsia" w:asciiTheme="minorEastAsia" w:hAnsiTheme="minorEastAsia" w:eastAsiaTheme="minorEastAsia" w:cstheme="minorEastAsia"/>
          <w:sz w:val="24"/>
          <w:szCs w:val="24"/>
        </w:rPr>
        <w:t>高等统计学、中级宏微观经济学、中高级计量经济学、大数据理论与方法、国民经济核算与分析、多元统计分析、时间序列分析、离散数据分析、非参数统计、应用随机过程、抽样技术、风险管理与精算、实验设计与数据挖掘、现代统计和大数据分析软件等。</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就业方向：</w:t>
      </w:r>
      <w:r>
        <w:rPr>
          <w:rFonts w:hint="eastAsia" w:asciiTheme="minorEastAsia" w:hAnsiTheme="minorEastAsia" w:eastAsiaTheme="minorEastAsia" w:cstheme="minorEastAsia"/>
          <w:sz w:val="24"/>
          <w:szCs w:val="24"/>
        </w:rPr>
        <w:t>各级政府管理部门、教学和科研单位、金融和互联网公司、企业等；还可进一步报考统计学以及经济学和管理学门类的博士研究生，继续求学深造。</w:t>
      </w:r>
    </w:p>
    <w:p>
      <w:pPr>
        <w:rPr>
          <w:rFonts w:asciiTheme="minorEastAsia" w:hAnsiTheme="minorEastAsia" w:eastAsiaTheme="minorEastAsia" w:cstheme="minorEastAsia"/>
          <w:sz w:val="24"/>
          <w:szCs w:val="24"/>
        </w:rPr>
      </w:pPr>
    </w:p>
    <w:p>
      <w:pPr>
        <w:widowControl/>
        <w:snapToGrid w:val="0"/>
        <w:ind w:firstLine="241" w:firstLineChars="100"/>
        <w:jc w:val="center"/>
        <w:rPr>
          <w:rFonts w:ascii="宋体" w:hAnsi="宋体" w:cs="宋体"/>
          <w:b/>
          <w:sz w:val="24"/>
        </w:rPr>
      </w:pPr>
      <w:r>
        <w:rPr>
          <w:rFonts w:hint="eastAsia" w:asciiTheme="minorEastAsia" w:hAnsiTheme="minorEastAsia" w:eastAsiaTheme="minorEastAsia" w:cstheme="minorEastAsia"/>
          <w:b/>
          <w:sz w:val="24"/>
          <w:szCs w:val="24"/>
        </w:rPr>
        <w:t xml:space="preserve">专业代码：027000                         </w:t>
      </w:r>
      <w:r>
        <w:rPr>
          <w:rFonts w:hint="eastAsia" w:ascii="宋体" w:hAnsi="宋体" w:cs="宋体"/>
          <w:b/>
          <w:sz w:val="24"/>
        </w:rPr>
        <w:t>咨询电话：020-84261737</w:t>
      </w:r>
    </w:p>
    <w:tbl>
      <w:tblPr>
        <w:tblStyle w:val="7"/>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4"/>
        <w:gridCol w:w="3012"/>
        <w:gridCol w:w="2741"/>
        <w:gridCol w:w="1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704" w:type="dxa"/>
            <w:tcBorders>
              <w:bottom w:val="single" w:color="auto" w:sz="4" w:space="0"/>
            </w:tcBorders>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序号</w:t>
            </w:r>
          </w:p>
        </w:tc>
        <w:tc>
          <w:tcPr>
            <w:tcW w:w="3012" w:type="dxa"/>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研究方向</w:t>
            </w:r>
          </w:p>
        </w:tc>
        <w:tc>
          <w:tcPr>
            <w:tcW w:w="2741" w:type="dxa"/>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初试科目</w:t>
            </w:r>
          </w:p>
        </w:tc>
        <w:tc>
          <w:tcPr>
            <w:tcW w:w="1843" w:type="dxa"/>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复试科目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6" w:hRule="atLeast"/>
          <w:jc w:val="center"/>
        </w:trPr>
        <w:tc>
          <w:tcPr>
            <w:tcW w:w="704" w:type="dxa"/>
            <w:tcBorders>
              <w:top w:val="single" w:color="auto" w:sz="4" w:space="0"/>
              <w:bottom w:val="single" w:color="auto" w:sz="4" w:space="0"/>
            </w:tcBorders>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p>
        </w:tc>
        <w:tc>
          <w:tcPr>
            <w:tcW w:w="3012" w:type="dxa"/>
            <w:tcBorders>
              <w:bottom w:val="single" w:color="auto" w:sz="4" w:space="0"/>
            </w:tcBorders>
            <w:shd w:val="clear" w:color="FFFFFF" w:fill="auto"/>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kern w:val="0"/>
                <w:sz w:val="24"/>
                <w:szCs w:val="24"/>
                <w:lang w:val="zh-CN"/>
              </w:rPr>
              <w:t>社会经济统计</w:t>
            </w:r>
          </w:p>
        </w:tc>
        <w:tc>
          <w:tcPr>
            <w:tcW w:w="2741" w:type="dxa"/>
            <w:vMerge w:val="restart"/>
            <w:shd w:val="clear" w:color="FFFFFF" w:fill="auto"/>
            <w:vAlign w:val="center"/>
          </w:tcPr>
          <w:p>
            <w:pPr>
              <w:autoSpaceDE w:val="0"/>
              <w:autoSpaceDN w:val="0"/>
              <w:adjustRightInd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）▲思想政治理论（</w:t>
            </w:r>
            <w:r>
              <w:rPr>
                <w:rFonts w:hint="eastAsia" w:asciiTheme="minorEastAsia" w:hAnsiTheme="minorEastAsia" w:eastAsiaTheme="minorEastAsia" w:cstheme="minorEastAsia"/>
                <w:color w:val="000000"/>
                <w:kern w:val="0"/>
                <w:sz w:val="24"/>
                <w:szCs w:val="24"/>
              </w:rPr>
              <w:t>100分</w:t>
            </w:r>
            <w:r>
              <w:rPr>
                <w:rFonts w:hint="eastAsia" w:asciiTheme="minorEastAsia" w:hAnsiTheme="minorEastAsia" w:eastAsiaTheme="minorEastAsia" w:cstheme="minorEastAsia"/>
                <w:color w:val="000000"/>
                <w:kern w:val="0"/>
                <w:sz w:val="24"/>
                <w:szCs w:val="24"/>
                <w:lang w:val="zh-CN"/>
              </w:rPr>
              <w:t>）</w:t>
            </w:r>
          </w:p>
          <w:p>
            <w:pPr>
              <w:autoSpaceDE w:val="0"/>
              <w:autoSpaceDN w:val="0"/>
              <w:adjustRightInd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）▲英语一（</w:t>
            </w:r>
            <w:r>
              <w:rPr>
                <w:rFonts w:hint="eastAsia" w:asciiTheme="minorEastAsia" w:hAnsiTheme="minorEastAsia" w:eastAsiaTheme="minorEastAsia" w:cstheme="minorEastAsia"/>
                <w:color w:val="000000"/>
                <w:kern w:val="0"/>
                <w:sz w:val="24"/>
                <w:szCs w:val="24"/>
              </w:rPr>
              <w:t>100分</w:t>
            </w:r>
            <w:r>
              <w:rPr>
                <w:rFonts w:hint="eastAsia" w:asciiTheme="minorEastAsia" w:hAnsiTheme="minorEastAsia" w:eastAsiaTheme="minorEastAsia" w:cstheme="minorEastAsia"/>
                <w:color w:val="000000"/>
                <w:kern w:val="0"/>
                <w:sz w:val="24"/>
                <w:szCs w:val="24"/>
                <w:lang w:val="zh-CN"/>
              </w:rPr>
              <w:t>）</w:t>
            </w:r>
          </w:p>
          <w:p>
            <w:pPr>
              <w:autoSpaceDE w:val="0"/>
              <w:autoSpaceDN w:val="0"/>
              <w:adjustRightInd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）▲数学三（</w:t>
            </w:r>
            <w:r>
              <w:rPr>
                <w:rFonts w:hint="eastAsia" w:asciiTheme="minorEastAsia" w:hAnsiTheme="minorEastAsia" w:eastAsiaTheme="minorEastAsia" w:cstheme="minorEastAsia"/>
                <w:color w:val="000000"/>
                <w:kern w:val="0"/>
                <w:sz w:val="24"/>
                <w:szCs w:val="24"/>
              </w:rPr>
              <w:t>150分</w:t>
            </w:r>
            <w:r>
              <w:rPr>
                <w:rFonts w:hint="eastAsia" w:asciiTheme="minorEastAsia" w:hAnsiTheme="minorEastAsia" w:eastAsiaTheme="minorEastAsia" w:cstheme="minorEastAsia"/>
                <w:color w:val="000000"/>
                <w:kern w:val="0"/>
                <w:sz w:val="24"/>
                <w:szCs w:val="24"/>
                <w:lang w:val="zh-CN"/>
              </w:rPr>
              <w:t>）</w:t>
            </w:r>
          </w:p>
          <w:p>
            <w:pPr>
              <w:autoSpaceDE w:val="0"/>
              <w:autoSpaceDN w:val="0"/>
              <w:adjustRightInd w:val="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color w:val="000000"/>
                <w:kern w:val="0"/>
                <w:sz w:val="24"/>
                <w:szCs w:val="24"/>
                <w:lang w:val="zh-CN"/>
              </w:rPr>
              <w:t>）经济学基础（</w:t>
            </w:r>
            <w:r>
              <w:rPr>
                <w:rFonts w:hint="eastAsia" w:asciiTheme="minorEastAsia" w:hAnsiTheme="minorEastAsia" w:eastAsiaTheme="minorEastAsia" w:cstheme="minorEastAsia"/>
                <w:color w:val="000000"/>
                <w:kern w:val="0"/>
                <w:sz w:val="24"/>
                <w:szCs w:val="24"/>
              </w:rPr>
              <w:t>150分</w:t>
            </w:r>
            <w:r>
              <w:rPr>
                <w:rFonts w:hint="eastAsia" w:asciiTheme="minorEastAsia" w:hAnsiTheme="minorEastAsia" w:eastAsiaTheme="minorEastAsia" w:cstheme="minorEastAsia"/>
                <w:color w:val="000000"/>
                <w:kern w:val="0"/>
                <w:sz w:val="24"/>
                <w:szCs w:val="24"/>
                <w:lang w:val="zh-CN"/>
              </w:rPr>
              <w:t>）</w:t>
            </w:r>
          </w:p>
        </w:tc>
        <w:tc>
          <w:tcPr>
            <w:tcW w:w="1843" w:type="dxa"/>
            <w:vMerge w:val="restart"/>
            <w:shd w:val="clear" w:color="FFFFFF" w:fill="auto"/>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kern w:val="0"/>
                <w:sz w:val="24"/>
                <w:szCs w:val="24"/>
                <w:lang w:val="zh-CN"/>
              </w:rPr>
              <w:t>F509-统计学（</w:t>
            </w:r>
            <w:r>
              <w:rPr>
                <w:rFonts w:hint="eastAsia" w:asciiTheme="minorEastAsia" w:hAnsiTheme="minorEastAsia" w:eastAsiaTheme="minorEastAsia" w:cstheme="minorEastAsia"/>
                <w:color w:val="000000"/>
                <w:kern w:val="0"/>
                <w:sz w:val="24"/>
                <w:szCs w:val="24"/>
              </w:rPr>
              <w:t>100分</w:t>
            </w:r>
            <w:r>
              <w:rPr>
                <w:rFonts w:hint="eastAsia" w:asciiTheme="minorEastAsia" w:hAnsiTheme="minorEastAsia" w:eastAsiaTheme="minorEastAsia" w:cstheme="minorEastAsia"/>
                <w:color w:val="000000"/>
                <w:kern w:val="0"/>
                <w:sz w:val="24"/>
                <w:szCs w:val="24"/>
                <w:lang w:val="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jc w:val="center"/>
        </w:trPr>
        <w:tc>
          <w:tcPr>
            <w:tcW w:w="704" w:type="dxa"/>
            <w:tcBorders>
              <w:top w:val="single" w:color="auto" w:sz="4" w:space="0"/>
              <w:bottom w:val="single" w:color="auto" w:sz="4" w:space="0"/>
            </w:tcBorders>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w:t>
            </w:r>
          </w:p>
        </w:tc>
        <w:tc>
          <w:tcPr>
            <w:tcW w:w="3012" w:type="dxa"/>
            <w:tcBorders>
              <w:top w:val="single" w:color="auto" w:sz="4" w:space="0"/>
            </w:tcBorders>
            <w:shd w:val="clear" w:color="FFFFFF" w:fill="auto"/>
            <w:vAlign w:val="center"/>
          </w:tcPr>
          <w:p>
            <w:pPr>
              <w:autoSpaceDE w:val="0"/>
              <w:autoSpaceDN w:val="0"/>
              <w:adjustRightInd w:val="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应用统计</w:t>
            </w:r>
          </w:p>
        </w:tc>
        <w:tc>
          <w:tcPr>
            <w:tcW w:w="2741" w:type="dxa"/>
            <w:vMerge w:val="continue"/>
            <w:shd w:val="clear" w:color="FFFFFF" w:fill="auto"/>
            <w:vAlign w:val="center"/>
          </w:tcPr>
          <w:p>
            <w:pPr>
              <w:autoSpaceDE w:val="0"/>
              <w:autoSpaceDN w:val="0"/>
              <w:adjustRightInd w:val="0"/>
              <w:rPr>
                <w:rFonts w:asciiTheme="minorEastAsia" w:hAnsiTheme="minorEastAsia" w:eastAsiaTheme="minorEastAsia" w:cstheme="minorEastAsia"/>
                <w:color w:val="000000"/>
                <w:kern w:val="0"/>
                <w:sz w:val="24"/>
                <w:szCs w:val="24"/>
                <w:lang w:val="zh-CN"/>
              </w:rPr>
            </w:pPr>
          </w:p>
        </w:tc>
        <w:tc>
          <w:tcPr>
            <w:tcW w:w="1843" w:type="dxa"/>
            <w:vMerge w:val="continue"/>
            <w:shd w:val="clear" w:color="FFFFFF" w:fill="auto"/>
            <w:vAlign w:val="center"/>
          </w:tcPr>
          <w:p>
            <w:pPr>
              <w:autoSpaceDE w:val="0"/>
              <w:autoSpaceDN w:val="0"/>
              <w:adjustRightInd w:val="0"/>
              <w:jc w:val="center"/>
              <w:rPr>
                <w:rFonts w:asciiTheme="minorEastAsia" w:hAnsiTheme="minorEastAsia" w:eastAsiaTheme="minorEastAsia" w:cstheme="minorEastAsia"/>
                <w:color w:val="000000"/>
                <w:kern w:val="0"/>
                <w:sz w:val="24"/>
                <w:szCs w:val="24"/>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8" w:hRule="atLeast"/>
          <w:jc w:val="center"/>
        </w:trPr>
        <w:tc>
          <w:tcPr>
            <w:tcW w:w="704" w:type="dxa"/>
            <w:tcBorders>
              <w:top w:val="single" w:color="auto" w:sz="4" w:space="0"/>
              <w:bottom w:val="single" w:color="auto" w:sz="4" w:space="0"/>
            </w:tcBorders>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p>
        </w:tc>
        <w:tc>
          <w:tcPr>
            <w:tcW w:w="3012" w:type="dxa"/>
            <w:tcBorders>
              <w:bottom w:val="single" w:color="auto" w:sz="4" w:space="0"/>
            </w:tcBorders>
            <w:shd w:val="clear" w:color="FFFFFF" w:fill="auto"/>
            <w:vAlign w:val="center"/>
          </w:tcPr>
          <w:p>
            <w:pPr>
              <w:autoSpaceDE w:val="0"/>
              <w:autoSpaceDN w:val="0"/>
              <w:adjustRightInd w:val="0"/>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风险管理与金融统计</w:t>
            </w:r>
          </w:p>
        </w:tc>
        <w:tc>
          <w:tcPr>
            <w:tcW w:w="2741" w:type="dxa"/>
            <w:vMerge w:val="continue"/>
            <w:shd w:val="clear" w:color="000000" w:fill="FFFFFF"/>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p>
        </w:tc>
        <w:tc>
          <w:tcPr>
            <w:tcW w:w="1843" w:type="dxa"/>
            <w:vMerge w:val="continue"/>
            <w:shd w:val="clear" w:color="000000" w:fill="FFFFFF"/>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0" w:hRule="atLeast"/>
          <w:jc w:val="center"/>
        </w:trPr>
        <w:tc>
          <w:tcPr>
            <w:tcW w:w="704" w:type="dxa"/>
            <w:tcBorders>
              <w:top w:val="single" w:color="auto" w:sz="4" w:space="0"/>
            </w:tcBorders>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w:t>
            </w:r>
          </w:p>
        </w:tc>
        <w:tc>
          <w:tcPr>
            <w:tcW w:w="3012" w:type="dxa"/>
            <w:tcBorders>
              <w:top w:val="single" w:color="auto" w:sz="4" w:space="0"/>
            </w:tcBorders>
            <w:shd w:val="clear" w:color="FFFFFF" w:fill="auto"/>
            <w:vAlign w:val="center"/>
          </w:tcPr>
          <w:p>
            <w:pPr>
              <w:autoSpaceDE w:val="0"/>
              <w:autoSpaceDN w:val="0"/>
              <w:adjustRightInd w:val="0"/>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数字经济统计</w:t>
            </w:r>
          </w:p>
        </w:tc>
        <w:tc>
          <w:tcPr>
            <w:tcW w:w="2741" w:type="dxa"/>
            <w:vMerge w:val="continue"/>
            <w:shd w:val="clear" w:color="000000" w:fill="FFFFFF"/>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p>
        </w:tc>
        <w:tc>
          <w:tcPr>
            <w:tcW w:w="1843" w:type="dxa"/>
            <w:vMerge w:val="continue"/>
            <w:shd w:val="clear" w:color="000000" w:fill="FFFFFF"/>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p>
        </w:tc>
      </w:tr>
    </w:tbl>
    <w:p>
      <w:pPr>
        <w:numPr>
          <w:ilvl w:val="0"/>
          <w:numId w:val="1"/>
        </w:numPr>
        <w:autoSpaceDE w:val="0"/>
        <w:autoSpaceDN w:val="0"/>
        <w:adjustRightInd w:val="0"/>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b/>
          <w:bCs/>
          <w:color w:val="000000"/>
          <w:kern w:val="0"/>
          <w:sz w:val="24"/>
          <w:szCs w:val="24"/>
          <w:lang w:val="zh-CN"/>
        </w:rPr>
        <w:t>表示统考科目或联考科目，考试题型、考试大纲以教育部公布为准。其他为自命题科目</w:t>
      </w:r>
      <w:r>
        <w:rPr>
          <w:rFonts w:hint="eastAsia" w:asciiTheme="minorEastAsia" w:hAnsiTheme="minorEastAsia" w:eastAsiaTheme="minorEastAsia" w:cstheme="minorEastAsia"/>
          <w:color w:val="000000"/>
          <w:kern w:val="0"/>
          <w:sz w:val="24"/>
          <w:szCs w:val="24"/>
          <w:lang w:val="zh-CN"/>
        </w:rPr>
        <w:t>。</w:t>
      </w:r>
    </w:p>
    <w:p>
      <w:pPr>
        <w:autoSpaceDE w:val="0"/>
        <w:autoSpaceDN w:val="0"/>
        <w:adjustRightInd w:val="0"/>
        <w:rPr>
          <w:rFonts w:asciiTheme="minorEastAsia" w:hAnsiTheme="minorEastAsia" w:eastAsiaTheme="minorEastAsia" w:cstheme="minorEastAsia"/>
          <w:color w:val="000000"/>
          <w:kern w:val="0"/>
          <w:sz w:val="24"/>
          <w:szCs w:val="24"/>
          <w:lang w:val="zh-CN"/>
        </w:rPr>
      </w:pPr>
    </w:p>
    <w:p>
      <w:pPr>
        <w:snapToGrid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考试题型及相应分值：</w:t>
      </w:r>
    </w:p>
    <w:p>
      <w:pPr>
        <w:adjustRightInd w:val="0"/>
        <w:snapToGrid w:val="0"/>
        <w:jc w:val="left"/>
        <w:rPr>
          <w:rFonts w:ascii="宋体" w:hAnsi="宋体" w:cs="宋体"/>
          <w:b/>
          <w:sz w:val="24"/>
          <w:szCs w:val="24"/>
        </w:rPr>
      </w:pPr>
      <w:r>
        <w:rPr>
          <w:rFonts w:hint="eastAsia" w:ascii="宋体" w:hAnsi="宋体" w:cs="宋体"/>
          <w:b/>
          <w:sz w:val="24"/>
          <w:szCs w:val="24"/>
        </w:rPr>
        <w:t>《经济学基础》</w:t>
      </w:r>
    </w:p>
    <w:p>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（1）名词解释（6题，每题5分，共30分）</w:t>
      </w:r>
    </w:p>
    <w:p>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（2）简答题（6题，每题10分，共60分）</w:t>
      </w:r>
    </w:p>
    <w:p>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（3）论述题（2题，每题30分，共60分）</w:t>
      </w:r>
    </w:p>
    <w:p>
      <w:pPr>
        <w:shd w:val="solid" w:color="FFFFFF" w:fill="auto"/>
        <w:autoSpaceDN w:val="0"/>
        <w:adjustRightInd w:val="0"/>
        <w:snapToGrid w:val="0"/>
        <w:rPr>
          <w:rFonts w:ascii="宋体" w:hAnsi="宋体" w:cs="宋体"/>
          <w:sz w:val="24"/>
          <w:szCs w:val="24"/>
          <w:shd w:val="clear" w:color="auto" w:fill="FFFFFF"/>
        </w:rPr>
      </w:pPr>
      <w:r>
        <w:rPr>
          <w:rFonts w:hint="eastAsia" w:ascii="宋体" w:hAnsi="宋体" w:cs="宋体"/>
          <w:sz w:val="24"/>
          <w:szCs w:val="24"/>
          <w:shd w:val="clear" w:color="auto" w:fill="FFFFFF"/>
        </w:rPr>
        <w:t>参考书目：高鸿业：《西方经济学(宏/微观)》第</w:t>
      </w:r>
      <w:r>
        <w:rPr>
          <w:rFonts w:hint="eastAsia" w:ascii="宋体" w:hAnsi="宋体" w:cs="宋体"/>
          <w:sz w:val="24"/>
          <w:szCs w:val="24"/>
          <w:shd w:val="clear" w:color="auto" w:fill="FFFFFF"/>
          <w:lang w:val="en-US" w:eastAsia="zh-CN"/>
        </w:rPr>
        <w:t>8</w:t>
      </w:r>
      <w:r>
        <w:rPr>
          <w:rFonts w:hint="eastAsia" w:ascii="宋体" w:hAnsi="宋体" w:cs="宋体"/>
          <w:sz w:val="24"/>
          <w:szCs w:val="24"/>
          <w:shd w:val="clear" w:color="auto" w:fill="FFFFFF"/>
        </w:rPr>
        <w:t>版，中国人民大学出版社20</w:t>
      </w:r>
      <w:r>
        <w:rPr>
          <w:rFonts w:hint="eastAsia" w:ascii="宋体" w:hAnsi="宋体" w:cs="宋体"/>
          <w:sz w:val="24"/>
          <w:szCs w:val="24"/>
          <w:shd w:val="clear" w:color="auto" w:fill="FFFFFF"/>
          <w:lang w:val="en-US" w:eastAsia="zh-CN"/>
        </w:rPr>
        <w:t>21</w:t>
      </w:r>
      <w:r>
        <w:rPr>
          <w:rFonts w:hint="eastAsia" w:ascii="宋体" w:hAnsi="宋体" w:cs="宋体"/>
          <w:sz w:val="24"/>
          <w:szCs w:val="24"/>
          <w:shd w:val="clear" w:color="auto" w:fill="FFFFFF"/>
        </w:rPr>
        <w:t>年</w:t>
      </w:r>
    </w:p>
    <w:p>
      <w:pPr>
        <w:adjustRightInd w:val="0"/>
        <w:snapToGrid w:val="0"/>
        <w:jc w:val="left"/>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《统计学》</w:t>
      </w:r>
    </w:p>
    <w:p>
      <w:pPr>
        <w:adjustRightInd w:val="0"/>
        <w:snapToGrid w:val="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（1）名词解释（4题，每题5分，共20分）</w:t>
      </w:r>
    </w:p>
    <w:p>
      <w:pPr>
        <w:adjustRightInd w:val="0"/>
        <w:snapToGrid w:val="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（2）计算与分析</w:t>
      </w:r>
      <w:r>
        <w:rPr>
          <w:rFonts w:hint="eastAsia" w:asciiTheme="minorEastAsia" w:hAnsiTheme="minorEastAsia" w:eastAsiaTheme="minorEastAsia" w:cstheme="minorEastAsia"/>
          <w:sz w:val="24"/>
          <w:szCs w:val="24"/>
        </w:rPr>
        <w:t>（3题，共50分）</w:t>
      </w:r>
    </w:p>
    <w:p>
      <w:pPr>
        <w:adjustRightInd w:val="0"/>
        <w:snapToGrid w:val="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（3）简述题（2题，每题15分，共30分）</w:t>
      </w:r>
    </w:p>
    <w:p>
      <w:pPr>
        <w:adjustRightInd w:val="0"/>
        <w:snapToGrid w:val="0"/>
        <w:rPr>
          <w:rFonts w:asciiTheme="minorEastAsia" w:hAnsiTheme="minorEastAsia" w:eastAsiaTheme="minorEastAsia" w:cstheme="minorEastAsia"/>
          <w:b/>
          <w:sz w:val="24"/>
          <w:szCs w:val="24"/>
        </w:rPr>
      </w:pPr>
    </w:p>
    <w:p>
      <w:pPr>
        <w:adjustRightInd w:val="0"/>
        <w:snapToGrid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考试大纲</w:t>
      </w:r>
    </w:p>
    <w:p>
      <w:pPr>
        <w:widowControl/>
        <w:snapToGrid w:val="0"/>
        <w:jc w:val="center"/>
        <w:rPr>
          <w:rFonts w:asciiTheme="minorEastAsia" w:hAnsiTheme="minorEastAsia" w:eastAsiaTheme="minorEastAsia" w:cstheme="minorEastAsia"/>
          <w:b/>
          <w:bCs/>
          <w:kern w:val="0"/>
          <w:sz w:val="24"/>
          <w:szCs w:val="24"/>
        </w:rPr>
      </w:pPr>
      <w:r>
        <w:rPr>
          <w:rFonts w:hint="eastAsia" w:ascii="黑体" w:hAnsi="黑体" w:eastAsia="黑体" w:cs="黑体"/>
          <w:b/>
          <w:bCs/>
          <w:kern w:val="0"/>
          <w:sz w:val="36"/>
          <w:szCs w:val="36"/>
        </w:rPr>
        <w:t>《经济学基础》</w:t>
      </w:r>
    </w:p>
    <w:p>
      <w:pPr>
        <w:adjustRightInd w:val="0"/>
        <w:snapToGrid w:val="0"/>
        <w:rPr>
          <w:rFonts w:ascii="宋体" w:hAnsi="宋体" w:cs="宋体"/>
          <w:b/>
          <w:color w:val="000000"/>
          <w:kern w:val="0"/>
          <w:sz w:val="24"/>
          <w:szCs w:val="24"/>
        </w:rPr>
      </w:pPr>
      <w:r>
        <w:rPr>
          <w:rFonts w:hint="eastAsia" w:ascii="宋体" w:hAnsi="宋体" w:cs="宋体"/>
          <w:b/>
          <w:color w:val="000000"/>
          <w:kern w:val="0"/>
          <w:sz w:val="24"/>
          <w:szCs w:val="24"/>
        </w:rPr>
        <w:t>《经济学基础》考试大纲概述：</w:t>
      </w:r>
    </w:p>
    <w:p>
      <w:pPr>
        <w:widowControl/>
        <w:snapToGrid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内容主要包括价格理论，消费者行为理论（效用理论），生产理论，成本理论，竞争市场</w:t>
      </w:r>
      <w:r>
        <w:rPr>
          <w:rFonts w:ascii="宋体" w:hAnsi="宋体" w:cs="宋体"/>
          <w:color w:val="000000"/>
          <w:sz w:val="24"/>
          <w:szCs w:val="24"/>
          <w:shd w:val="clear" w:color="auto" w:fill="FFFFFF"/>
        </w:rPr>
        <w:t>理论，</w:t>
      </w:r>
      <w:r>
        <w:rPr>
          <w:rFonts w:hint="eastAsia" w:ascii="宋体" w:hAnsi="宋体" w:cs="宋体"/>
          <w:color w:val="000000"/>
          <w:sz w:val="24"/>
          <w:szCs w:val="24"/>
          <w:shd w:val="clear" w:color="auto" w:fill="FFFFFF"/>
        </w:rPr>
        <w:t>国民收入决定理论，产品</w:t>
      </w:r>
      <w:r>
        <w:rPr>
          <w:rFonts w:ascii="宋体" w:hAnsi="宋体" w:cs="宋体"/>
          <w:color w:val="000000"/>
          <w:sz w:val="24"/>
          <w:szCs w:val="24"/>
          <w:shd w:val="clear" w:color="auto" w:fill="FFFFFF"/>
        </w:rPr>
        <w:t>与货币市场均衡理论，</w:t>
      </w:r>
      <w:r>
        <w:rPr>
          <w:rFonts w:hint="eastAsia" w:ascii="宋体" w:hAnsi="宋体" w:cs="宋体"/>
          <w:color w:val="000000"/>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pPr>
        <w:widowControl/>
        <w:snapToGrid w:val="0"/>
        <w:rPr>
          <w:rFonts w:ascii="宋体" w:hAnsi="宋体" w:cs="宋体"/>
          <w:b/>
          <w:bCs/>
          <w:color w:val="000000"/>
          <w:sz w:val="24"/>
          <w:szCs w:val="24"/>
          <w:shd w:val="clear" w:color="auto" w:fill="FFFFFF"/>
        </w:rPr>
      </w:pPr>
    </w:p>
    <w:p>
      <w:pPr>
        <w:widowControl/>
        <w:snapToGrid w:val="0"/>
        <w:rPr>
          <w:rFonts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第一部分微观经济理论</w:t>
      </w:r>
    </w:p>
    <w:p>
      <w:pPr>
        <w:widowControl/>
        <w:snapToGrid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一、需求、供给与价格理论</w:t>
      </w:r>
    </w:p>
    <w:p>
      <w:pPr>
        <w:numPr>
          <w:ilvl w:val="0"/>
          <w:numId w:val="2"/>
        </w:numPr>
        <w:shd w:val="solid" w:color="FFFFFF" w:fill="auto"/>
        <w:autoSpaceDN w:val="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需求理论</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需求、需求表、需求曲线与需求规律影响需求的因素：需求函数</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需求定理需求量的变动与需求的变动</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供给理论</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供给、供给表、供给曲线影响供给的因素：供给函数</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供给定理供给量的变动与供给的变动</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价格的决定</w:t>
      </w:r>
    </w:p>
    <w:p>
      <w:pPr>
        <w:shd w:val="solid" w:color="FFFFFF" w:fill="auto"/>
        <w:autoSpaceDN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均衡价格含义及形成需求与供给变动对均衡的影响</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w:t>
      </w:r>
    </w:p>
    <w:p>
      <w:pPr>
        <w:shd w:val="solid" w:color="FFFFFF" w:fill="auto"/>
        <w:autoSpaceDN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需求价格弹性的含义与分类影响需求弹性的因素</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弹性理论的运用：需求弹性与总收益</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二、消费者行为理论（效用理论）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效用</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基数效用论与序数效用论总效用与边际效用边际效用递减规律</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序数效用论</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无差异曲线及特征消费可能线（预算线）消费者均衡</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消费者行为理论的运用</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消费者剩余消费者行为与需求定理</w:t>
      </w:r>
    </w:p>
    <w:p>
      <w:pPr>
        <w:shd w:val="solid" w:color="FFFFFF" w:fill="auto"/>
        <w:autoSpaceDN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三、生产理论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生产要素与生产函数</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边际收益递减规律</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总产量、平均产量、边际产量的关系</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等产量线与等成本线</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规模报酬</w:t>
      </w:r>
    </w:p>
    <w:p>
      <w:pPr>
        <w:shd w:val="solid" w:color="FFFFFF" w:fill="auto"/>
        <w:autoSpaceDN w:val="0"/>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四、成本与收益理论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成本</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会计成本与机会成本机会成本在企业决策中的作用</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短期成本的分类各类短期成本的变动规律及其关系</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长期成本</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长期总成本长期平均成本长期边际成本</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收益与利润最大化</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总收益、平均收益与边际收益利润最大化原则</w:t>
      </w:r>
    </w:p>
    <w:p>
      <w:pPr>
        <w:shd w:val="solid" w:color="FFFFFF" w:fill="auto"/>
        <w:autoSpaceDN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五、竞争市场理论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市场结构类型市场结构与企业行为的关系</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完全竞争市场含义与特征完全竞争市场需求曲线、平均收益与边际收益</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利润最大化的基本原则完全竞争市场上的短期均衡与长期均衡</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非完全竞争市场</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完全垄断、垄断竞争和寡头垄断市场的条件及其特征</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完全垄断厂商的需求曲线、平均收益与边际收益</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垄断市场上的短期均衡与长期均衡（了解）</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垄断竞争与完全竞争的比较</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垄断竞争市场上的产品差别竞争</w:t>
      </w:r>
    </w:p>
    <w:p>
      <w:pPr>
        <w:shd w:val="solid" w:color="FFFFFF" w:fill="auto"/>
        <w:autoSpaceDN w:val="0"/>
        <w:rPr>
          <w:rFonts w:ascii="宋体" w:hAnsi="宋体" w:cs="宋体"/>
          <w:b/>
          <w:bCs/>
          <w:color w:val="000000"/>
          <w:sz w:val="24"/>
          <w:szCs w:val="24"/>
          <w:shd w:val="clear" w:color="auto" w:fill="FFFFFF"/>
        </w:rPr>
      </w:pPr>
    </w:p>
    <w:p>
      <w:pPr>
        <w:shd w:val="solid" w:color="FFFFFF" w:fill="auto"/>
        <w:autoSpaceDN w:val="0"/>
        <w:rPr>
          <w:rFonts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第二部分宏观经济理论</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一、国民收入决定理论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国内生产总值的含义</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国内生产总值的计算方法</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实际国内生产总值与名义国内生产总值</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国内生产总值与人均国内生产总值</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消费函数、储蓄函数</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乘数理论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其他宏观经济指标（了解）</w:t>
      </w:r>
    </w:p>
    <w:p>
      <w:pPr>
        <w:shd w:val="solid" w:color="FFFFFF" w:fill="auto"/>
        <w:autoSpaceDN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物价指数失业率</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二、产品市场和货币市场的一般均衡理论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投资的决定</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实际利率与投资边际效率</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投资边际效率曲线预期收益与投资</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商品市场的均衡（IS）曲线</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货币市场的均衡（LM）曲线</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利率的决定</w:t>
      </w:r>
    </w:p>
    <w:p>
      <w:pPr>
        <w:shd w:val="solid" w:color="FFFFFF" w:fill="auto"/>
        <w:autoSpaceDN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三、宏观经济政策分析</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财政政策货币政策</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财政政策和货币政策的影响财政政策和货币政策的混合使用</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经济政策目标</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充分就业价格稳定</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经济持续均衡增长国际收支平衡。</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财政政策工具自动稳定与相机抉择的财政政策</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功能财政和预算盈余充分就业预算盈余与财政政策方向</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货币政策</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商业银行和中央银行存款创造和货币供给</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债券价格与市场利息率的关系货币政策及其工具</w:t>
      </w:r>
    </w:p>
    <w:p>
      <w:pPr>
        <w:shd w:val="solid" w:color="FFFFFF" w:fill="auto"/>
        <w:autoSpaceDN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四、失业、通货膨胀理论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失业理论</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失业的分类自然失业率和自然就业率</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失业的影响奥肯定律</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通货膨胀理论</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通货膨胀的含义与分类通货膨胀对经济的影响</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通货膨胀的原因需求拉动的通货膨胀理论</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供给推动的通货膨胀理论其他通货膨胀理论</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治理通货膨胀的对策</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菲利普斯曲线的提出菲利普斯曲线的政策含义</w:t>
      </w:r>
    </w:p>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《统计学》</w:t>
      </w:r>
    </w:p>
    <w:p>
      <w:pPr>
        <w:adjustRightInd w:val="0"/>
        <w:snapToGrid w:val="0"/>
        <w:rPr>
          <w:rFonts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《统计学》考试大纲概述：</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科目考试的目的主要在于考查应试考生在大学阶段对统计学基本理论方法的学习理解、掌握与运用情况。通过考试，能够测试出考生对统计分析过程中基本概念、分类、理论方法及运用要求的熟练程度，为更准确地选出有方向研究潜力的考生提供依据。</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一、统计学的产生与发展</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●统计学的产生与发展</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●统计学的性质与特点</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●统计学的几个基本概念</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二、统计调查与整理</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●统计调查的组织方式</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●统计报表制度</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●调查方案设计</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●统计分组</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●变量数列</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三、统计指标及指标体系</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●统计指标的设计</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●统计指标的种类</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●统计指标体系的设计</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●统计指标体系的应用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四、参数估计与假设检验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●抽样分布</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●参数估计</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●各种抽样组织形式下的参数估计方法</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●样本容量确定方法</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●假设检验的基本原理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●总体均值、总体比例的假设检验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五、相关与回归分析</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●相关与回归的概念、联系、区别</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●相关系数与决定系数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●线性回归模型及应用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●非线性回归模型及应用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六、非参数统计</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●非参数统计的概念</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●游程检验</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●等级相关检验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七、时间数列</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●时间数列的概念、种类、编制方法</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●动态分析指标</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●发展水平影响因素及测定</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●时间数列预测</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八、统计指数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●指数的概念和分类</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●综合指数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●平均数指数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●平均水平总变动指数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●指数体系与因素分析</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●CPI指数及运用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九、统计决策</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●统计决策的概念、基本原则和步骤</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●风险型决策</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●贝叶斯决策</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●完全不确定型决策</w:t>
      </w:r>
    </w:p>
    <w:p>
      <w:pPr>
        <w:rPr>
          <w:rFonts w:asciiTheme="minorEastAsia" w:hAnsiTheme="minorEastAsia" w:eastAsiaTheme="minorEastAsia" w:cstheme="minorEastAsia"/>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B215A"/>
    <w:multiLevelType w:val="multilevel"/>
    <w:tmpl w:val="0C6B215A"/>
    <w:lvl w:ilvl="0" w:tentative="0">
      <w:start w:val="5"/>
      <w:numFmt w:val="bullet"/>
      <w:lvlText w:val="▲"/>
      <w:lvlJc w:val="left"/>
      <w:pPr>
        <w:tabs>
          <w:tab w:val="left" w:pos="240"/>
        </w:tabs>
        <w:ind w:left="240" w:hanging="240"/>
      </w:pPr>
      <w:rPr>
        <w:rFonts w:hint="eastAsia" w:ascii="仿宋_GB2312" w:hAnsi="??_GB2312" w:eastAsia="仿宋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ZDIyMjBkNTZmYWRlZTI0MWZjMTE5MTY5OTBlN2QifQ=="/>
  </w:docVars>
  <w:rsids>
    <w:rsidRoot w:val="00E5635F"/>
    <w:rsid w:val="00007A34"/>
    <w:rsid w:val="00077CA7"/>
    <w:rsid w:val="00081A04"/>
    <w:rsid w:val="000853D7"/>
    <w:rsid w:val="000A6AF5"/>
    <w:rsid w:val="000D066D"/>
    <w:rsid w:val="000E0D65"/>
    <w:rsid w:val="000F2A38"/>
    <w:rsid w:val="000F470F"/>
    <w:rsid w:val="000F4F2B"/>
    <w:rsid w:val="00105EB3"/>
    <w:rsid w:val="001106B8"/>
    <w:rsid w:val="00153577"/>
    <w:rsid w:val="00174437"/>
    <w:rsid w:val="00192F1D"/>
    <w:rsid w:val="001930A2"/>
    <w:rsid w:val="001B40BD"/>
    <w:rsid w:val="001E5EE5"/>
    <w:rsid w:val="00256D98"/>
    <w:rsid w:val="0027160A"/>
    <w:rsid w:val="00273CB6"/>
    <w:rsid w:val="00297BE4"/>
    <w:rsid w:val="002A7BE5"/>
    <w:rsid w:val="002B44E0"/>
    <w:rsid w:val="002C2D63"/>
    <w:rsid w:val="002C74DE"/>
    <w:rsid w:val="002D0566"/>
    <w:rsid w:val="002D0A46"/>
    <w:rsid w:val="0031060A"/>
    <w:rsid w:val="003301BA"/>
    <w:rsid w:val="003457B2"/>
    <w:rsid w:val="00347354"/>
    <w:rsid w:val="00353F1B"/>
    <w:rsid w:val="003824FA"/>
    <w:rsid w:val="00390360"/>
    <w:rsid w:val="0039483A"/>
    <w:rsid w:val="003F663E"/>
    <w:rsid w:val="00413DFD"/>
    <w:rsid w:val="00431D05"/>
    <w:rsid w:val="00431E5D"/>
    <w:rsid w:val="0047118E"/>
    <w:rsid w:val="0048698D"/>
    <w:rsid w:val="004930C4"/>
    <w:rsid w:val="004A7B2C"/>
    <w:rsid w:val="00595239"/>
    <w:rsid w:val="005954CE"/>
    <w:rsid w:val="005A567F"/>
    <w:rsid w:val="005B622A"/>
    <w:rsid w:val="005B66D2"/>
    <w:rsid w:val="005E3C0C"/>
    <w:rsid w:val="005F52D2"/>
    <w:rsid w:val="006121B0"/>
    <w:rsid w:val="00612D43"/>
    <w:rsid w:val="0062481D"/>
    <w:rsid w:val="00660F85"/>
    <w:rsid w:val="0067105D"/>
    <w:rsid w:val="00694D31"/>
    <w:rsid w:val="006C51C6"/>
    <w:rsid w:val="006F21B2"/>
    <w:rsid w:val="0070079E"/>
    <w:rsid w:val="007237A3"/>
    <w:rsid w:val="00750BF0"/>
    <w:rsid w:val="00765F1C"/>
    <w:rsid w:val="007713ED"/>
    <w:rsid w:val="007810FE"/>
    <w:rsid w:val="007A7A62"/>
    <w:rsid w:val="007C15F2"/>
    <w:rsid w:val="007D6396"/>
    <w:rsid w:val="007D771B"/>
    <w:rsid w:val="008242AC"/>
    <w:rsid w:val="00827BF5"/>
    <w:rsid w:val="00872E69"/>
    <w:rsid w:val="008A65F5"/>
    <w:rsid w:val="008C05DA"/>
    <w:rsid w:val="008C317C"/>
    <w:rsid w:val="008D1578"/>
    <w:rsid w:val="009001AE"/>
    <w:rsid w:val="0090405F"/>
    <w:rsid w:val="00917DB8"/>
    <w:rsid w:val="00942EF7"/>
    <w:rsid w:val="00944890"/>
    <w:rsid w:val="00946E63"/>
    <w:rsid w:val="009507C3"/>
    <w:rsid w:val="00951098"/>
    <w:rsid w:val="00956FF6"/>
    <w:rsid w:val="00960350"/>
    <w:rsid w:val="00982482"/>
    <w:rsid w:val="009829A1"/>
    <w:rsid w:val="009B3AD3"/>
    <w:rsid w:val="009B5D5C"/>
    <w:rsid w:val="009F5810"/>
    <w:rsid w:val="00A0096E"/>
    <w:rsid w:val="00A2385D"/>
    <w:rsid w:val="00A75BC0"/>
    <w:rsid w:val="00AE5CA3"/>
    <w:rsid w:val="00AF1B35"/>
    <w:rsid w:val="00B06D86"/>
    <w:rsid w:val="00B1427D"/>
    <w:rsid w:val="00B15BA6"/>
    <w:rsid w:val="00B80DF5"/>
    <w:rsid w:val="00BA3D74"/>
    <w:rsid w:val="00BF0B72"/>
    <w:rsid w:val="00C11431"/>
    <w:rsid w:val="00C62020"/>
    <w:rsid w:val="00C970AE"/>
    <w:rsid w:val="00CC6391"/>
    <w:rsid w:val="00CE2E6C"/>
    <w:rsid w:val="00CF1C24"/>
    <w:rsid w:val="00D24587"/>
    <w:rsid w:val="00D41EC0"/>
    <w:rsid w:val="00D52B5B"/>
    <w:rsid w:val="00D55B06"/>
    <w:rsid w:val="00D65DC8"/>
    <w:rsid w:val="00DA27E2"/>
    <w:rsid w:val="00DA717E"/>
    <w:rsid w:val="00DC71F7"/>
    <w:rsid w:val="00E036F2"/>
    <w:rsid w:val="00E102FB"/>
    <w:rsid w:val="00E211DB"/>
    <w:rsid w:val="00E3543B"/>
    <w:rsid w:val="00E41F4D"/>
    <w:rsid w:val="00E4680A"/>
    <w:rsid w:val="00E53E6F"/>
    <w:rsid w:val="00E5635F"/>
    <w:rsid w:val="00E6014A"/>
    <w:rsid w:val="00E66213"/>
    <w:rsid w:val="00E81F51"/>
    <w:rsid w:val="00E9114D"/>
    <w:rsid w:val="00E94DD4"/>
    <w:rsid w:val="00E96354"/>
    <w:rsid w:val="00EB1310"/>
    <w:rsid w:val="00ED57AF"/>
    <w:rsid w:val="00EF074F"/>
    <w:rsid w:val="00EF6D5F"/>
    <w:rsid w:val="00F2058C"/>
    <w:rsid w:val="00F243AB"/>
    <w:rsid w:val="00F50026"/>
    <w:rsid w:val="00F86937"/>
    <w:rsid w:val="00FA27B6"/>
    <w:rsid w:val="00FD1125"/>
    <w:rsid w:val="00FD56A0"/>
    <w:rsid w:val="00FE69CE"/>
    <w:rsid w:val="00FF6FCD"/>
    <w:rsid w:val="027F7E38"/>
    <w:rsid w:val="13CD60E4"/>
    <w:rsid w:val="1C363B5F"/>
    <w:rsid w:val="26D12B41"/>
    <w:rsid w:val="2700666D"/>
    <w:rsid w:val="2E9B5695"/>
    <w:rsid w:val="4C8A2299"/>
    <w:rsid w:val="590B6CFB"/>
    <w:rsid w:val="5AAE6965"/>
    <w:rsid w:val="62F639C5"/>
    <w:rsid w:val="6A536F28"/>
    <w:rsid w:val="72C16654"/>
    <w:rsid w:val="76D31E88"/>
    <w:rsid w:val="7B2C61A7"/>
    <w:rsid w:val="7D2F7F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annotation reference"/>
    <w:basedOn w:val="8"/>
    <w:semiHidden/>
    <w:unhideWhenUsed/>
    <w:qFormat/>
    <w:uiPriority w:val="99"/>
    <w:rPr>
      <w:sz w:val="21"/>
      <w:szCs w:val="21"/>
    </w:rPr>
  </w:style>
  <w:style w:type="character" w:customStyle="1" w:styleId="10">
    <w:name w:val="apple-converted-space"/>
    <w:basedOn w:val="8"/>
    <w:qFormat/>
    <w:uiPriority w:val="99"/>
  </w:style>
  <w:style w:type="paragraph" w:customStyle="1" w:styleId="11">
    <w:name w:val="列出段落1"/>
    <w:basedOn w:val="1"/>
    <w:qFormat/>
    <w:uiPriority w:val="99"/>
    <w:pPr>
      <w:ind w:firstLine="420" w:firstLineChars="200"/>
    </w:pPr>
  </w:style>
  <w:style w:type="paragraph" w:customStyle="1" w:styleId="12">
    <w:name w:val="大纲正文"/>
    <w:basedOn w:val="1"/>
    <w:qFormat/>
    <w:uiPriority w:val="99"/>
    <w:pPr>
      <w:spacing w:line="360" w:lineRule="auto"/>
      <w:ind w:firstLine="540" w:firstLineChars="225"/>
    </w:pPr>
    <w:rPr>
      <w:rFonts w:ascii="宋体" w:hAnsi="宋体" w:cs="宋体"/>
      <w:sz w:val="24"/>
      <w:szCs w:val="24"/>
    </w:rPr>
  </w:style>
  <w:style w:type="character" w:customStyle="1" w:styleId="13">
    <w:name w:val="页眉 Char"/>
    <w:basedOn w:val="8"/>
    <w:link w:val="5"/>
    <w:semiHidden/>
    <w:qFormat/>
    <w:locked/>
    <w:uiPriority w:val="99"/>
    <w:rPr>
      <w:sz w:val="18"/>
      <w:szCs w:val="18"/>
    </w:rPr>
  </w:style>
  <w:style w:type="character" w:customStyle="1" w:styleId="14">
    <w:name w:val="页脚 Char"/>
    <w:basedOn w:val="8"/>
    <w:link w:val="4"/>
    <w:semiHidden/>
    <w:qFormat/>
    <w:locked/>
    <w:uiPriority w:val="99"/>
    <w:rPr>
      <w:sz w:val="18"/>
      <w:szCs w:val="18"/>
    </w:rPr>
  </w:style>
  <w:style w:type="character" w:customStyle="1" w:styleId="15">
    <w:name w:val="批注文字 Char"/>
    <w:basedOn w:val="8"/>
    <w:link w:val="2"/>
    <w:semiHidden/>
    <w:uiPriority w:val="99"/>
    <w:rPr>
      <w:rFonts w:ascii="Calibri" w:hAnsi="Calibri" w:cs="Calibri"/>
      <w:kern w:val="2"/>
      <w:sz w:val="21"/>
      <w:szCs w:val="21"/>
    </w:rPr>
  </w:style>
  <w:style w:type="character" w:customStyle="1" w:styleId="16">
    <w:name w:val="批注主题 Char"/>
    <w:basedOn w:val="15"/>
    <w:link w:val="6"/>
    <w:semiHidden/>
    <w:uiPriority w:val="99"/>
    <w:rPr>
      <w:b/>
      <w:bCs/>
    </w:rPr>
  </w:style>
  <w:style w:type="character" w:customStyle="1" w:styleId="17">
    <w:name w:val="批注框文本 Char"/>
    <w:basedOn w:val="8"/>
    <w:link w:val="3"/>
    <w:semiHidden/>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2737</Words>
  <Characters>2795</Characters>
  <Lines>22</Lines>
  <Paragraphs>6</Paragraphs>
  <TotalTime>7</TotalTime>
  <ScaleCrop>false</ScaleCrop>
  <LinksUpToDate>false</LinksUpToDate>
  <CharactersWithSpaces>2894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2016-06-08T01:48:00Z</dcterms:created>
  <dc:creator>lzd</dc:creator>
  <cp:lastModifiedBy>刘照德</cp:lastModifiedBy>
  <cp:lastPrinted>2018-05-23T03:23:00Z</cp:lastPrinted>
  <dcterms:modified xsi:type="dcterms:W3CDTF">2022-06-27T03:16:55Z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136D9BAACD6A4F9DA162B78C69D7EB4F</vt:lpwstr>
  </property>
</Properties>
</file>