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bookmarkStart w:id="0" w:name="_GoBack"/>
      <w:r>
        <w:t>隆平分院2023年硕士研究生复试录取工作实施细则</w:t>
      </w:r>
      <w:r>
        <w:rPr>
          <w:rFonts w:hint="eastAsia"/>
          <w:lang w:val="en-US" w:eastAsia="zh-CN"/>
        </w:rPr>
        <w:t>及复试名单</w:t>
      </w:r>
    </w:p>
    <w:bookmarkEnd w:id="0"/>
    <w:p>
      <w:pPr>
        <w:rPr/>
      </w:pPr>
      <w:r>
        <w:t>一、组织管理机构</w:t>
      </w:r>
    </w:p>
    <w:p>
      <w:pPr>
        <w:rPr/>
      </w:pPr>
      <w:r>
        <w:rPr>
          <w:lang w:val="en-US" w:eastAsia="zh-CN"/>
        </w:rPr>
        <w:t>1、成立隆平分院（以下简称分院）研究生招生工作领导小组，以分管分院的领导为组长，小组成员由分院领导和监察审计部门负责人等担任，负责分院复试重大事项决策、制定和实施分院复试具体工作方案。</w:t>
      </w:r>
    </w:p>
    <w:p>
      <w:pPr>
        <w:rPr/>
      </w:pPr>
      <w:r>
        <w:rPr>
          <w:lang w:val="en-US" w:eastAsia="zh-CN"/>
        </w:rPr>
        <w:t>2、分院成立研究生招生工作复试监督小组，由监察审计部门负责人任组长，小组成员由分院党总支书记和纪检委员等担任，负责分院复试过程各个环节的监督检查，并受理考生的举报、投诉事宜。</w:t>
      </w:r>
    </w:p>
    <w:p>
      <w:pPr>
        <w:rPr/>
      </w:pPr>
      <w:r>
        <w:rPr>
          <w:lang w:val="en-US" w:eastAsia="zh-CN"/>
        </w:rPr>
        <w:t>二、复试分数线</w:t>
      </w:r>
    </w:p>
    <w:tbl>
      <w:tblPr>
        <w:tblW w:w="88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23"/>
        <w:gridCol w:w="1303"/>
        <w:gridCol w:w="1423"/>
        <w:gridCol w:w="989"/>
        <w:gridCol w:w="1273"/>
        <w:gridCol w:w="1138"/>
        <w:gridCol w:w="988"/>
        <w:gridCol w:w="9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2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类别</w:t>
            </w:r>
          </w:p>
        </w:tc>
        <w:tc>
          <w:tcPr>
            <w:tcW w:w="130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学科门类</w:t>
            </w:r>
          </w:p>
        </w:tc>
        <w:tc>
          <w:tcPr>
            <w:tcW w:w="1425" w:type="dxa"/>
            <w:tcBorders>
              <w:top w:val="single" w:color="auto" w:sz="8" w:space="0"/>
              <w:left w:val="single" w:color="auto" w:sz="8" w:space="0"/>
              <w:bottom w:val="single" w:color="auto" w:sz="8" w:space="0"/>
              <w:right w:val="single" w:color="auto" w:sz="8" w:space="0"/>
            </w:tcBorders>
            <w:shd w:val="clear"/>
            <w:vAlign w:val="top"/>
          </w:tcPr>
          <w:p>
            <w:pPr>
              <w:rPr/>
            </w:pPr>
            <w:r>
              <w:rPr>
                <w:lang w:val="en-US" w:eastAsia="zh-CN"/>
              </w:rPr>
              <w:t>专业方向</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总分</w:t>
            </w:r>
          </w:p>
        </w:tc>
        <w:tc>
          <w:tcPr>
            <w:tcW w:w="127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政治理论</w:t>
            </w:r>
          </w:p>
        </w:tc>
        <w:tc>
          <w:tcPr>
            <w:tcW w:w="114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外国语</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专业一</w:t>
            </w:r>
          </w:p>
        </w:tc>
        <w:tc>
          <w:tcPr>
            <w:tcW w:w="94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专业二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2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学术学位</w:t>
            </w:r>
          </w:p>
        </w:tc>
        <w:tc>
          <w:tcPr>
            <w:tcW w:w="130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理学[07]</w:t>
            </w:r>
          </w:p>
        </w:tc>
        <w:tc>
          <w:tcPr>
            <w:tcW w:w="1425" w:type="dxa"/>
            <w:tcBorders>
              <w:top w:val="single" w:color="auto" w:sz="8" w:space="0"/>
              <w:left w:val="single" w:color="auto" w:sz="8" w:space="0"/>
              <w:bottom w:val="single" w:color="auto" w:sz="8" w:space="0"/>
              <w:right w:val="single" w:color="auto" w:sz="8" w:space="0"/>
            </w:tcBorders>
            <w:shd w:val="clear"/>
            <w:vAlign w:val="top"/>
          </w:tcPr>
          <w:p>
            <w:pPr>
              <w:rPr/>
            </w:pPr>
            <w:r>
              <w:rPr>
                <w:lang w:val="en-US" w:eastAsia="zh-CN"/>
              </w:rPr>
              <w:t>生物学01-07方向</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340</w:t>
            </w:r>
          </w:p>
        </w:tc>
        <w:tc>
          <w:tcPr>
            <w:tcW w:w="127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50</w:t>
            </w:r>
          </w:p>
        </w:tc>
        <w:tc>
          <w:tcPr>
            <w:tcW w:w="114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50</w:t>
            </w:r>
          </w:p>
        </w:tc>
        <w:tc>
          <w:tcPr>
            <w:tcW w:w="99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85</w:t>
            </w:r>
          </w:p>
        </w:tc>
        <w:tc>
          <w:tcPr>
            <w:tcW w:w="94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85</w:t>
            </w:r>
          </w:p>
        </w:tc>
      </w:tr>
    </w:tbl>
    <w:p>
      <w:pPr>
        <w:rPr/>
      </w:pPr>
      <w:r>
        <w:rPr>
          <w:lang w:val="en-US" w:eastAsia="zh-CN"/>
        </w:rPr>
        <w:t>三、专业招生计划及复试名单</w:t>
      </w:r>
    </w:p>
    <w:tbl>
      <w:tblPr>
        <w:tblW w:w="96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5"/>
        <w:gridCol w:w="974"/>
        <w:gridCol w:w="704"/>
        <w:gridCol w:w="2128"/>
        <w:gridCol w:w="585"/>
        <w:gridCol w:w="1559"/>
        <w:gridCol w:w="1843"/>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85" w:type="dxa"/>
            <w:vMerge w:val="restart"/>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专业</w:t>
            </w:r>
          </w:p>
          <w:p>
            <w:pPr>
              <w:rPr/>
            </w:pPr>
            <w:r>
              <w:rPr>
                <w:lang w:val="en-US" w:eastAsia="zh-CN"/>
              </w:rPr>
              <w:t>代码</w:t>
            </w:r>
          </w:p>
        </w:tc>
        <w:tc>
          <w:tcPr>
            <w:tcW w:w="975" w:type="dxa"/>
            <w:vMerge w:val="restart"/>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专业名称</w:t>
            </w:r>
          </w:p>
        </w:tc>
        <w:tc>
          <w:tcPr>
            <w:tcW w:w="705" w:type="dxa"/>
            <w:vMerge w:val="restart"/>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方向代码</w:t>
            </w:r>
          </w:p>
        </w:tc>
        <w:tc>
          <w:tcPr>
            <w:tcW w:w="2130" w:type="dxa"/>
            <w:vMerge w:val="restart"/>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方向名称</w:t>
            </w:r>
          </w:p>
        </w:tc>
        <w:tc>
          <w:tcPr>
            <w:tcW w:w="585" w:type="dxa"/>
            <w:vMerge w:val="restart"/>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小计</w:t>
            </w:r>
          </w:p>
        </w:tc>
        <w:tc>
          <w:tcPr>
            <w:tcW w:w="4335" w:type="dxa"/>
            <w:gridSpan w:val="3"/>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招生计划数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97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70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13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5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156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推免拟录取人数</w:t>
            </w:r>
          </w:p>
        </w:tc>
        <w:tc>
          <w:tcPr>
            <w:tcW w:w="1845" w:type="dxa"/>
            <w:tcBorders>
              <w:top w:val="single" w:color="auto" w:sz="8" w:space="0"/>
              <w:left w:val="single" w:color="auto" w:sz="8" w:space="0"/>
              <w:bottom w:val="single" w:color="auto" w:sz="8" w:space="0"/>
              <w:right w:val="single" w:color="auto" w:sz="8" w:space="0"/>
            </w:tcBorders>
            <w:shd w:val="clear"/>
            <w:vAlign w:val="center"/>
          </w:tcPr>
          <w:p>
            <w:pPr>
              <w:rPr/>
            </w:pPr>
            <w:r>
              <w:rPr>
                <w:rFonts w:hint="default"/>
                <w:lang w:val="en-US" w:eastAsia="zh-CN"/>
              </w:rPr>
              <w:t>剩余统考招生计划数</w:t>
            </w:r>
          </w:p>
        </w:tc>
        <w:tc>
          <w:tcPr>
            <w:tcW w:w="945" w:type="dxa"/>
            <w:tcBorders>
              <w:top w:val="single" w:color="auto" w:sz="8" w:space="0"/>
              <w:left w:val="single" w:color="auto" w:sz="8" w:space="0"/>
              <w:bottom w:val="single" w:color="auto" w:sz="8" w:space="0"/>
              <w:right w:val="single" w:color="auto" w:sz="8" w:space="0"/>
            </w:tcBorders>
            <w:shd w:val="clear"/>
            <w:vAlign w:val="center"/>
          </w:tcPr>
          <w:p>
            <w:pPr>
              <w:rPr/>
            </w:pPr>
            <w:r>
              <w:rPr>
                <w:rFonts w:hint="default"/>
                <w:lang w:val="en-US" w:eastAsia="zh-CN"/>
              </w:rPr>
              <w:t>上线人数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85" w:type="dxa"/>
            <w:vMerge w:val="restart"/>
            <w:tcBorders>
              <w:top w:val="single" w:color="000000" w:sz="8" w:space="0"/>
              <w:left w:val="single" w:color="000000" w:sz="8" w:space="0"/>
              <w:bottom w:val="single" w:color="000000" w:sz="8" w:space="0"/>
              <w:right w:val="single" w:color="000000" w:sz="8" w:space="0"/>
            </w:tcBorders>
            <w:shd w:val="clear"/>
            <w:vAlign w:val="center"/>
          </w:tcPr>
          <w:p>
            <w:pPr>
              <w:rPr/>
            </w:pPr>
            <w:r>
              <w:rPr>
                <w:lang w:val="en-US" w:eastAsia="zh-CN"/>
              </w:rPr>
              <w:t>071000</w:t>
            </w:r>
          </w:p>
        </w:tc>
        <w:tc>
          <w:tcPr>
            <w:tcW w:w="975" w:type="dxa"/>
            <w:vMerge w:val="restart"/>
            <w:tcBorders>
              <w:top w:val="single" w:color="000000" w:sz="8" w:space="0"/>
              <w:left w:val="single" w:color="000000" w:sz="8" w:space="0"/>
              <w:bottom w:val="single" w:color="000000" w:sz="8" w:space="0"/>
              <w:right w:val="single" w:color="000000" w:sz="8" w:space="0"/>
            </w:tcBorders>
            <w:shd w:val="clear"/>
            <w:vAlign w:val="center"/>
          </w:tcPr>
          <w:p>
            <w:pPr>
              <w:rPr/>
            </w:pPr>
            <w:r>
              <w:rPr>
                <w:lang w:val="en-US" w:eastAsia="zh-CN"/>
              </w:rPr>
              <w:t>生物学</w:t>
            </w:r>
          </w:p>
        </w:tc>
        <w:tc>
          <w:tcPr>
            <w:tcW w:w="70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01</w:t>
            </w:r>
          </w:p>
        </w:tc>
        <w:tc>
          <w:tcPr>
            <w:tcW w:w="213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植物杂种优势利用</w:t>
            </w:r>
          </w:p>
        </w:tc>
        <w:tc>
          <w:tcPr>
            <w:tcW w:w="585" w:type="dxa"/>
            <w:vMerge w:val="restart"/>
            <w:tcBorders>
              <w:top w:val="single" w:color="000000" w:sz="8" w:space="0"/>
              <w:left w:val="single" w:color="000000" w:sz="8" w:space="0"/>
              <w:bottom w:val="single" w:color="000000" w:sz="8" w:space="0"/>
              <w:right w:val="single" w:color="000000" w:sz="8" w:space="0"/>
            </w:tcBorders>
            <w:shd w:val="clear"/>
            <w:vAlign w:val="center"/>
          </w:tcPr>
          <w:p>
            <w:pPr>
              <w:rPr/>
            </w:pPr>
            <w:r>
              <w:rPr>
                <w:lang w:val="en-US" w:eastAsia="zh-CN"/>
              </w:rPr>
              <w:t>25</w:t>
            </w:r>
          </w:p>
        </w:tc>
        <w:tc>
          <w:tcPr>
            <w:tcW w:w="1560" w:type="dxa"/>
            <w:vMerge w:val="restart"/>
            <w:tcBorders>
              <w:top w:val="single" w:color="000000" w:sz="8" w:space="0"/>
              <w:left w:val="single" w:color="000000" w:sz="8" w:space="0"/>
              <w:bottom w:val="single" w:color="000000" w:sz="8" w:space="0"/>
              <w:right w:val="single" w:color="000000" w:sz="8" w:space="0"/>
            </w:tcBorders>
            <w:shd w:val="clear"/>
            <w:vAlign w:val="center"/>
          </w:tcPr>
          <w:p>
            <w:pPr>
              <w:rPr/>
            </w:pPr>
            <w:r>
              <w:rPr>
                <w:lang w:val="en-US" w:eastAsia="zh-CN"/>
              </w:rPr>
              <w:t>13</w:t>
            </w:r>
          </w:p>
        </w:tc>
        <w:tc>
          <w:tcPr>
            <w:tcW w:w="1845" w:type="dxa"/>
            <w:vMerge w:val="restart"/>
            <w:tcBorders>
              <w:top w:val="single" w:color="000000" w:sz="8" w:space="0"/>
              <w:left w:val="single" w:color="000000" w:sz="8" w:space="0"/>
              <w:bottom w:val="single" w:color="000000" w:sz="8" w:space="0"/>
              <w:right w:val="single" w:color="000000" w:sz="8" w:space="0"/>
            </w:tcBorders>
            <w:shd w:val="clear"/>
            <w:vAlign w:val="center"/>
          </w:tcPr>
          <w:p>
            <w:pPr>
              <w:rPr/>
            </w:pPr>
            <w:r>
              <w:rPr>
                <w:lang w:val="en-US" w:eastAsia="zh-CN"/>
              </w:rPr>
              <w:t>12</w:t>
            </w:r>
          </w:p>
        </w:tc>
        <w:tc>
          <w:tcPr>
            <w:tcW w:w="945" w:type="dxa"/>
            <w:vMerge w:val="restart"/>
            <w:tcBorders>
              <w:top w:val="single" w:color="000000" w:sz="8" w:space="0"/>
              <w:left w:val="single" w:color="000000" w:sz="8" w:space="0"/>
              <w:bottom w:val="single" w:color="000000" w:sz="8" w:space="0"/>
              <w:right w:val="single" w:color="000000" w:sz="8" w:space="0"/>
            </w:tcBorders>
            <w:shd w:val="clear"/>
            <w:vAlign w:val="center"/>
          </w:tcPr>
          <w:p>
            <w:pPr>
              <w:rPr/>
            </w:pPr>
            <w:r>
              <w:rPr>
                <w:rFonts w:hint="default"/>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8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97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70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02</w:t>
            </w:r>
          </w:p>
        </w:tc>
        <w:tc>
          <w:tcPr>
            <w:tcW w:w="213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植物遗传学与品种培育</w:t>
            </w:r>
          </w:p>
        </w:tc>
        <w:tc>
          <w:tcPr>
            <w:tcW w:w="58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84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8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97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70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03</w:t>
            </w:r>
          </w:p>
        </w:tc>
        <w:tc>
          <w:tcPr>
            <w:tcW w:w="213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杂草生物学与防控</w:t>
            </w:r>
          </w:p>
        </w:tc>
        <w:tc>
          <w:tcPr>
            <w:tcW w:w="58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84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8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97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70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04</w:t>
            </w:r>
          </w:p>
        </w:tc>
        <w:tc>
          <w:tcPr>
            <w:tcW w:w="213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生物资源学</w:t>
            </w:r>
          </w:p>
        </w:tc>
        <w:tc>
          <w:tcPr>
            <w:tcW w:w="58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84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8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97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70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05</w:t>
            </w:r>
          </w:p>
        </w:tc>
        <w:tc>
          <w:tcPr>
            <w:tcW w:w="213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微生物与植物互作</w:t>
            </w:r>
          </w:p>
        </w:tc>
        <w:tc>
          <w:tcPr>
            <w:tcW w:w="58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84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8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97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70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06</w:t>
            </w:r>
          </w:p>
        </w:tc>
        <w:tc>
          <w:tcPr>
            <w:tcW w:w="213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生物化学与分子生物学</w:t>
            </w:r>
          </w:p>
        </w:tc>
        <w:tc>
          <w:tcPr>
            <w:tcW w:w="58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84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8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97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70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07</w:t>
            </w:r>
          </w:p>
        </w:tc>
        <w:tc>
          <w:tcPr>
            <w:tcW w:w="213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食品生物化学</w:t>
            </w:r>
          </w:p>
        </w:tc>
        <w:tc>
          <w:tcPr>
            <w:tcW w:w="58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13</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6</w:t>
            </w:r>
          </w:p>
        </w:tc>
        <w:tc>
          <w:tcPr>
            <w:tcW w:w="184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7</w:t>
            </w:r>
          </w:p>
        </w:tc>
        <w:tc>
          <w:tcPr>
            <w:tcW w:w="945" w:type="dxa"/>
            <w:tcBorders>
              <w:top w:val="single" w:color="auto" w:sz="8" w:space="0"/>
              <w:left w:val="single" w:color="auto" w:sz="8" w:space="0"/>
              <w:bottom w:val="single" w:color="auto" w:sz="8" w:space="0"/>
              <w:right w:val="single" w:color="auto" w:sz="8" w:space="0"/>
            </w:tcBorders>
            <w:shd w:val="clear"/>
            <w:vAlign w:val="center"/>
          </w:tcPr>
          <w:p>
            <w:pPr>
              <w:rPr/>
            </w:pPr>
            <w:r>
              <w:rPr>
                <w:rFonts w:hint="default"/>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695" w:type="dxa"/>
            <w:gridSpan w:val="4"/>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合计</w:t>
            </w:r>
          </w:p>
        </w:tc>
        <w:tc>
          <w:tcPr>
            <w:tcW w:w="58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38</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19</w:t>
            </w:r>
          </w:p>
        </w:tc>
        <w:tc>
          <w:tcPr>
            <w:tcW w:w="1845" w:type="dxa"/>
            <w:tcBorders>
              <w:top w:val="single" w:color="auto" w:sz="8" w:space="0"/>
              <w:left w:val="single" w:color="auto" w:sz="8" w:space="0"/>
              <w:bottom w:val="single" w:color="auto" w:sz="8" w:space="0"/>
              <w:right w:val="single" w:color="auto" w:sz="8" w:space="0"/>
            </w:tcBorders>
            <w:shd w:val="clear"/>
            <w:vAlign w:val="center"/>
          </w:tcPr>
          <w:p>
            <w:pPr>
              <w:rPr/>
            </w:pPr>
            <w:r>
              <w:rPr>
                <w:lang w:val="en-US" w:eastAsia="zh-CN"/>
              </w:rPr>
              <w:t>19</w:t>
            </w:r>
          </w:p>
        </w:tc>
        <w:tc>
          <w:tcPr>
            <w:tcW w:w="945" w:type="dxa"/>
            <w:tcBorders>
              <w:top w:val="single" w:color="auto" w:sz="8" w:space="0"/>
              <w:left w:val="single" w:color="auto" w:sz="8" w:space="0"/>
              <w:bottom w:val="single" w:color="auto" w:sz="8" w:space="0"/>
              <w:right w:val="single" w:color="auto" w:sz="8" w:space="0"/>
            </w:tcBorders>
            <w:shd w:val="clear"/>
            <w:vAlign w:val="center"/>
          </w:tcPr>
          <w:p>
            <w:pPr>
              <w:rPr/>
            </w:pPr>
            <w:r>
              <w:rPr>
                <w:rFonts w:hint="default"/>
                <w:lang w:val="en-US" w:eastAsia="zh-CN"/>
              </w:rPr>
              <w:t>20</w:t>
            </w:r>
          </w:p>
        </w:tc>
      </w:tr>
    </w:tbl>
    <w:p>
      <w:pPr>
        <w:rPr/>
      </w:pPr>
      <w:r>
        <w:rPr>
          <w:lang w:val="en-US" w:eastAsia="zh-CN"/>
        </w:rPr>
        <w:t>复试名单详见附件1。</w:t>
      </w:r>
    </w:p>
    <w:p>
      <w:pPr>
        <w:rPr/>
      </w:pPr>
      <w:r>
        <w:rPr>
          <w:lang w:val="en-US" w:eastAsia="zh-CN"/>
        </w:rPr>
        <w:t>四、资格审核</w:t>
      </w:r>
    </w:p>
    <w:p>
      <w:pPr>
        <w:rPr/>
      </w:pPr>
      <w:r>
        <w:rPr>
          <w:lang w:val="en-US" w:eastAsia="zh-CN"/>
        </w:rPr>
        <w:t>复试考生资格审查内容如下：</w:t>
      </w:r>
    </w:p>
    <w:p>
      <w:pPr>
        <w:rPr/>
      </w:pPr>
      <w:r>
        <w:rPr>
          <w:lang w:val="en-US" w:eastAsia="zh-CN"/>
        </w:rPr>
        <w:t>（1）本人准考证。</w:t>
      </w:r>
    </w:p>
    <w:p>
      <w:pPr>
        <w:rPr/>
      </w:pPr>
      <w:r>
        <w:rPr>
          <w:lang w:val="en-US" w:eastAsia="zh-CN"/>
        </w:rPr>
        <w:t>（2）身份证。</w:t>
      </w:r>
    </w:p>
    <w:p>
      <w:pPr>
        <w:rPr/>
      </w:pPr>
      <w:r>
        <w:rPr>
          <w:lang w:val="en-US" w:eastAsia="zh-CN"/>
        </w:rPr>
        <w:t>（3）应届生：学生证（或学校教务处开具的学籍证明）、《教育部学籍在线验证报告》。</w:t>
      </w:r>
    </w:p>
    <w:p>
      <w:pPr>
        <w:rPr/>
      </w:pPr>
      <w:r>
        <w:rPr>
          <w:lang w:val="en-US" w:eastAsia="zh-CN"/>
        </w:rPr>
        <w:t>往届生：本科学历证书、学位证书、《教育部学历证书电子注册备案表》（或《学历认证报告》）。专科起点获本科毕业证或者专升本的考生还需提交专科毕业证；在国外获得学位的考生，提供由教育部留学服务中心出具的认证报告。</w:t>
      </w:r>
    </w:p>
    <w:p>
      <w:pPr>
        <w:rPr/>
      </w:pPr>
      <w:r>
        <w:rPr>
          <w:lang w:val="en-US" w:eastAsia="zh-CN"/>
        </w:rPr>
        <w:t>（4）外语成绩证明（英语四、六级成绩单或其他语言等级证书）。</w:t>
      </w:r>
    </w:p>
    <w:p>
      <w:pPr>
        <w:rPr/>
      </w:pPr>
      <w:r>
        <w:rPr>
          <w:lang w:val="en-US" w:eastAsia="zh-CN"/>
        </w:rPr>
        <w:t>（5）获奖证书，公开发表的论文等材料。</w:t>
      </w:r>
    </w:p>
    <w:p>
      <w:pPr>
        <w:rPr/>
      </w:pPr>
      <w:r>
        <w:rPr>
          <w:lang w:val="en-US" w:eastAsia="zh-CN"/>
        </w:rPr>
        <w:t>（6）诚信复试承诺书本人签名（附件2）。</w:t>
      </w:r>
    </w:p>
    <w:p>
      <w:pPr>
        <w:rPr/>
      </w:pPr>
      <w:r>
        <w:rPr>
          <w:lang w:val="en-US" w:eastAsia="zh-CN"/>
        </w:rPr>
        <w:t>考生于3月25日前将上述材料扫描件按顺序压缩打包，文件命名 “姓名+硕士复试审查材料”，发送邮箱：2990897126@qq.com 。</w:t>
      </w:r>
    </w:p>
    <w:p>
      <w:pPr>
        <w:rPr/>
      </w:pPr>
      <w:r>
        <w:rPr>
          <w:lang w:val="en-US" w:eastAsia="zh-CN"/>
        </w:rPr>
        <w:t>五、复试方法与时间</w:t>
      </w:r>
    </w:p>
    <w:p>
      <w:pPr>
        <w:rPr/>
      </w:pPr>
      <w:r>
        <w:rPr>
          <w:lang w:val="en-US" w:eastAsia="zh-CN"/>
        </w:rPr>
        <w:t>1、复试时间：2023年4月2日。</w:t>
      </w:r>
    </w:p>
    <w:p>
      <w:pPr>
        <w:rPr/>
      </w:pPr>
      <w:r>
        <w:rPr>
          <w:lang w:val="en-US" w:eastAsia="zh-CN"/>
        </w:rPr>
        <w:t>2、复试形式：采用现场复试方式进行</w:t>
      </w:r>
    </w:p>
    <w:p>
      <w:pPr>
        <w:rPr/>
      </w:pPr>
      <w:r>
        <w:rPr>
          <w:lang w:val="en-US" w:eastAsia="zh-CN"/>
        </w:rPr>
        <w:t>（1）专业课笔试（闭卷）</w:t>
      </w:r>
    </w:p>
    <w:p>
      <w:pPr>
        <w:rPr/>
      </w:pPr>
      <w:r>
        <w:rPr>
          <w:lang w:val="en-US" w:eastAsia="zh-CN"/>
        </w:rPr>
        <w:t>时间： 4月2日8:30 -10:30</w:t>
      </w:r>
    </w:p>
    <w:p>
      <w:pPr>
        <w:rPr/>
      </w:pPr>
      <w:r>
        <w:rPr>
          <w:lang w:val="en-US" w:eastAsia="zh-CN"/>
        </w:rPr>
        <w:t>地点：湖南大学研究生院隆平分院大楼（湖南省农科院科技交流活动中心一楼110、112室）</w:t>
      </w:r>
    </w:p>
    <w:p>
      <w:pPr>
        <w:rPr/>
      </w:pPr>
      <w:r>
        <w:rPr>
          <w:lang w:val="en-US" w:eastAsia="zh-CN"/>
        </w:rPr>
        <w:t>（2）专业综合面试</w:t>
      </w:r>
    </w:p>
    <w:p>
      <w:pPr>
        <w:rPr/>
      </w:pPr>
      <w:r>
        <w:rPr>
          <w:lang w:val="en-US" w:eastAsia="zh-CN"/>
        </w:rPr>
        <w:t>时间：4月2日14:30-18:30（考生提前30分钟到场）</w:t>
      </w:r>
    </w:p>
    <w:p>
      <w:pPr>
        <w:rPr/>
      </w:pPr>
      <w:r>
        <w:rPr>
          <w:lang w:val="en-US" w:eastAsia="zh-CN"/>
        </w:rPr>
        <w:t>地点：湖南大学研究生院隆平分院大楼（湖南省农科院科技交流活动中心一楼110、112室）</w:t>
      </w:r>
    </w:p>
    <w:p>
      <w:pPr>
        <w:rPr/>
      </w:pPr>
      <w:r>
        <w:rPr>
          <w:lang w:val="en-US" w:eastAsia="zh-CN"/>
        </w:rPr>
        <w:t>六、复试内容与分值</w:t>
      </w:r>
    </w:p>
    <w:p>
      <w:pPr>
        <w:rPr/>
      </w:pPr>
      <w:r>
        <w:rPr>
          <w:lang w:val="en-US" w:eastAsia="zh-CN"/>
        </w:rPr>
        <w:t>复试内容包括专业课笔试和专业综合面试两部分，总成绩为240分。</w:t>
      </w:r>
    </w:p>
    <w:p>
      <w:pPr>
        <w:rPr/>
      </w:pPr>
      <w:r>
        <w:rPr>
          <w:lang w:val="en-US" w:eastAsia="zh-CN"/>
        </w:rPr>
        <w:t>第一部分是专业课笔试，共100分。</w:t>
      </w:r>
    </w:p>
    <w:p>
      <w:pPr>
        <w:rPr/>
      </w:pPr>
      <w:r>
        <w:rPr>
          <w:lang w:val="en-US" w:eastAsia="zh-CN"/>
        </w:rPr>
        <w:t>考核内容：生物学01-06方向考试科目为普通生物学，07方向考试科目为现代食品工程技术，都为闭卷现场考试。</w:t>
      </w:r>
    </w:p>
    <w:p>
      <w:pPr>
        <w:rPr/>
      </w:pPr>
      <w:r>
        <w:rPr>
          <w:lang w:val="en-US" w:eastAsia="zh-CN"/>
        </w:rPr>
        <w:t>第二部分是综合面试，主要考察考生的思维、创新、反应、表达等能力，个人基本素质、心理健康状况，外语听力和口语水平以及思想政治素质和道德品质等情况，共140分。</w:t>
      </w:r>
    </w:p>
    <w:p>
      <w:pPr>
        <w:rPr/>
      </w:pPr>
      <w:r>
        <w:rPr>
          <w:lang w:val="en-US" w:eastAsia="zh-CN"/>
        </w:rPr>
        <w:t>考核内容：其中外国语口语及听力测试计30分，专业综合面试计110分。外语测试为现场英语问答，限时5分钟，专业综合面试考生进行个人简介，汇报奖励情况、科研成果、毕业论文或实习等情况，现场回答考官提问，限时15分钟。</w:t>
      </w:r>
    </w:p>
    <w:p>
      <w:pPr>
        <w:rPr/>
      </w:pPr>
      <w:r>
        <w:rPr>
          <w:lang w:val="en-US" w:eastAsia="zh-CN"/>
        </w:rPr>
        <w:t>七、考生复试须知</w:t>
      </w:r>
    </w:p>
    <w:p>
      <w:pPr>
        <w:rPr/>
      </w:pPr>
      <w:r>
        <w:rPr>
          <w:lang w:val="en-US" w:eastAsia="zh-CN"/>
        </w:rPr>
        <w:t>1.在规定时间内按照学院要求提交材料。考生应对所提供材料的真实性负责，对弄虚作假者，一经查实，将取消复试及录取资格。</w:t>
      </w:r>
    </w:p>
    <w:p>
      <w:pPr>
        <w:rPr/>
      </w:pPr>
      <w:r>
        <w:rPr>
          <w:lang w:val="en-US" w:eastAsia="zh-CN"/>
        </w:rPr>
        <w:t>2.参加复试的考生须通过学校缴费平台缴纳复试费，复试费标准为 120 元/人次。缴费后因各种原因未参加复试者，已支付的复试费不退。（具体缴费平台及开放时间另行通知。）</w:t>
      </w:r>
    </w:p>
    <w:p>
      <w:pPr>
        <w:rPr/>
      </w:pPr>
      <w:r>
        <w:rPr>
          <w:lang w:val="en-US" w:eastAsia="zh-CN"/>
        </w:rPr>
        <w:t>八、录取</w:t>
      </w:r>
    </w:p>
    <w:p>
      <w:pPr>
        <w:rPr/>
      </w:pPr>
      <w:r>
        <w:rPr>
          <w:lang w:val="en-US" w:eastAsia="zh-CN"/>
        </w:rPr>
        <w:t>1. 分院招生工作领导小组根据考生总分（即初试成绩、复试成绩之和）排序，从高到低择优确定拟录取建议名单。考生总分相同的，按复试成绩高低择优录取，复试成绩仍相同的，按复试成绩的综合面试成绩高低择优确定拟录取建议名单。</w:t>
      </w:r>
    </w:p>
    <w:p>
      <w:pPr>
        <w:rPr/>
      </w:pPr>
      <w:r>
        <w:rPr>
          <w:lang w:val="en-US" w:eastAsia="zh-CN"/>
        </w:rPr>
        <w:t>2. 专业综合面试成绩低于84分者不予录取。复试成绩低于144分者不予录取。思想政治素质和道德品质考核结果不合格者不予录取。</w:t>
      </w:r>
    </w:p>
    <w:p>
      <w:pPr>
        <w:rPr/>
      </w:pPr>
      <w:r>
        <w:rPr>
          <w:lang w:val="en-US" w:eastAsia="zh-CN"/>
        </w:rPr>
        <w:t>3.分院将在官网公示复试名单及成绩、拟录取建议名单，拟录取建议名单公示时间不少于10个工作日。公示无误后报学校研究生院招生办审核，最终录取结果以学校公布的拟录取名单为准。</w:t>
      </w:r>
    </w:p>
    <w:p>
      <w:pPr>
        <w:rPr/>
      </w:pPr>
      <w:r>
        <w:rPr>
          <w:lang w:val="en-US" w:eastAsia="zh-CN"/>
        </w:rPr>
        <w:t>4.学院公布拟录取名单后，如果出现考生放弃录取资格的情况，学院将在该专业候补考生中按照学院录取原则以及考生意愿进行补录。</w:t>
      </w:r>
    </w:p>
    <w:p>
      <w:pPr>
        <w:rPr/>
      </w:pPr>
      <w:r>
        <w:rPr>
          <w:lang w:val="en-US" w:eastAsia="zh-CN"/>
        </w:rPr>
        <w:t>5.凡未进行资格审查或资格审查未通过、未按时与学院进行复试确认、未按时缴纳复试费、招生过程中任何环节弄虚作假或面试过程泄露信息者，一律不得录取。</w:t>
      </w:r>
    </w:p>
    <w:p>
      <w:pPr>
        <w:rPr/>
      </w:pPr>
      <w:r>
        <w:rPr>
          <w:lang w:val="en-US" w:eastAsia="zh-CN"/>
        </w:rPr>
        <w:t>6.调档：录取为全日制非定向就业的考生须调档至我校。全日制定向类别和非全日制硕士考生不调档。</w:t>
      </w:r>
    </w:p>
    <w:p>
      <w:pPr>
        <w:rPr/>
      </w:pPr>
      <w:r>
        <w:rPr>
          <w:lang w:val="en-US" w:eastAsia="zh-CN"/>
        </w:rPr>
        <w:t>九、体检</w:t>
      </w:r>
    </w:p>
    <w:p>
      <w:pPr>
        <w:rPr/>
      </w:pPr>
      <w:r>
        <w:rPr>
          <w:lang w:val="en-US" w:eastAsia="zh-CN"/>
        </w:rPr>
        <w:t>考生体检在入学报到后进行，由学校医院组织实施，体检要求按照教育部相关文件执行。</w:t>
      </w:r>
    </w:p>
    <w:p>
      <w:pPr>
        <w:rPr/>
      </w:pPr>
      <w:r>
        <w:rPr>
          <w:lang w:val="en-US" w:eastAsia="zh-CN"/>
        </w:rPr>
        <w:t>十、咨询、申诉及监督</w:t>
      </w:r>
    </w:p>
    <w:p>
      <w:pPr>
        <w:rPr/>
      </w:pPr>
      <w:r>
        <w:rPr>
          <w:lang w:val="en-US" w:eastAsia="zh-CN"/>
        </w:rPr>
        <w:t>1.信息查询：复试、录取等信息可在分院和学校研究生院网站查询。</w:t>
      </w:r>
    </w:p>
    <w:p>
      <w:pPr>
        <w:rPr/>
      </w:pPr>
      <w:r>
        <w:rPr>
          <w:lang w:val="en-US" w:eastAsia="zh-CN"/>
        </w:rPr>
        <w:t>2.申诉：申请人对分院硕士生招生环节有异议的，可以书面形式具名向分院提起申诉，若申诉人对答复仍有异议的，可向学校研究生招生办公室提起申诉。</w:t>
      </w:r>
      <w:r>
        <w:rPr>
          <w:lang w:val="en-US" w:eastAsia="zh-CN"/>
        </w:rPr>
        <w:br w:type="textWrapping"/>
      </w:r>
      <w:r>
        <w:rPr>
          <w:lang w:val="en-US" w:eastAsia="zh-CN"/>
        </w:rPr>
        <w:t>    3.咨询及申诉联系方式：</w:t>
      </w:r>
    </w:p>
    <w:p>
      <w:pPr>
        <w:rPr/>
      </w:pPr>
      <w:r>
        <w:rPr>
          <w:lang w:val="en-US" w:eastAsia="zh-CN"/>
        </w:rPr>
        <w:t>分院咨询电话：0731-84691831，易老师</w:t>
      </w:r>
    </w:p>
    <w:p>
      <w:pPr>
        <w:rPr/>
      </w:pPr>
      <w:r>
        <w:rPr>
          <w:lang w:val="en-US" w:eastAsia="zh-CN"/>
        </w:rPr>
        <w:t>研究生院招生办：0731-88822856，电子邮箱yzb@hnu.edu.cn(邮件标题请注明：2023年研招录取)</w:t>
      </w:r>
    </w:p>
    <w:p>
      <w:pPr>
        <w:rPr/>
      </w:pPr>
      <w:r>
        <w:rPr>
          <w:lang w:val="en-US" w:eastAsia="zh-CN"/>
        </w:rPr>
        <w:t>4.监督：分院硕士研究生招生工作始终严格按照公平、公正、公开的原则进行，接受考生、家长和社会的监督，如发现有违规违纪情况可向分院复试监督小组或者学校监察处反映。</w:t>
      </w:r>
    </w:p>
    <w:p>
      <w:pPr>
        <w:rPr/>
      </w:pPr>
      <w:r>
        <w:rPr>
          <w:lang w:val="en-US" w:eastAsia="zh-CN"/>
        </w:rPr>
        <w:t>分院复试监督小组：0731-84691362</w:t>
      </w:r>
    </w:p>
    <w:p>
      <w:pPr>
        <w:rPr/>
      </w:pPr>
      <w:r>
        <w:rPr>
          <w:lang w:val="en-US" w:eastAsia="zh-CN"/>
        </w:rPr>
        <w:t>学校监察处：0731-88821680</w:t>
      </w:r>
    </w:p>
    <w:p>
      <w:pPr>
        <w:rPr/>
      </w:pPr>
    </w:p>
    <w:p>
      <w:pPr>
        <w:rPr/>
      </w:pPr>
      <w:r>
        <w:rPr>
          <w:lang w:val="en-US" w:eastAsia="zh-CN"/>
        </w:rPr>
        <w:t>附件1： 隆平分院2023年硕士研究生复试名单</w:t>
      </w:r>
    </w:p>
    <w:p>
      <w:pPr>
        <w:rPr/>
      </w:pPr>
      <w:r>
        <w:rPr>
          <w:lang w:val="en-US" w:eastAsia="zh-CN"/>
        </w:rPr>
        <w:t>附件2： 诚信复试承诺书</w:t>
      </w:r>
    </w:p>
    <w:p>
      <w:pPr>
        <w:rPr/>
      </w:pPr>
      <w:r>
        <w:rPr>
          <w:lang w:val="en-US" w:eastAsia="zh-CN"/>
        </w:rPr>
        <w:t>                             </w:t>
      </w:r>
    </w:p>
    <w:p>
      <w:pPr>
        <w:rPr/>
      </w:pPr>
    </w:p>
    <w:p>
      <w:pPr>
        <w:rPr/>
      </w:pPr>
    </w:p>
    <w:p>
      <w:pPr>
        <w:rPr/>
      </w:pPr>
    </w:p>
    <w:p>
      <w:pPr>
        <w:rPr/>
      </w:pPr>
      <w:r>
        <w:rPr>
          <w:lang w:val="en-US" w:eastAsia="zh-CN"/>
        </w:rPr>
        <w:t> 湖南大学研究生院隆平分院</w:t>
      </w:r>
    </w:p>
    <w:p>
      <w:pPr>
        <w:rPr/>
      </w:pPr>
      <w:r>
        <w:rPr>
          <w:lang w:val="en-US" w:eastAsia="zh-CN"/>
        </w:rPr>
        <w:t>                                 2023年3月20日</w:t>
      </w:r>
    </w:p>
    <w:p>
      <w:pPr>
        <w:rPr/>
      </w:pPr>
    </w:p>
    <w:p>
      <w:pPr>
        <w:rPr/>
      </w:pPr>
      <w:r>
        <w:rPr>
          <w:lang w:val="en-US" w:eastAsia="zh-CN"/>
        </w:rPr>
        <w:t>附件1</w:t>
      </w:r>
    </w:p>
    <w:p>
      <w:pPr>
        <w:rPr/>
      </w:pPr>
      <w:r>
        <w:rPr>
          <w:lang w:val="en-US" w:eastAsia="zh-CN"/>
        </w:rPr>
        <w:t>隆平分院2023年硕士研究生复试名单</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994"/>
        <w:gridCol w:w="2388"/>
        <w:gridCol w:w="1371"/>
        <w:gridCol w:w="15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tcBorders>
              <w:top w:val="single" w:color="auto" w:sz="8" w:space="0"/>
              <w:left w:val="single" w:color="auto" w:sz="8" w:space="0"/>
              <w:bottom w:val="single" w:color="auto" w:sz="8" w:space="0"/>
              <w:right w:val="single" w:color="auto" w:sz="8" w:space="0"/>
            </w:tcBorders>
            <w:shd w:val="clear"/>
            <w:vAlign w:val="center"/>
          </w:tcPr>
          <w:p>
            <w:pPr>
              <w:rPr/>
            </w:pPr>
            <w:r>
              <w:rPr>
                <w:rFonts w:hint="eastAsia"/>
                <w:lang w:val="en-US" w:eastAsia="zh-CN"/>
              </w:rPr>
              <w:t>报考专业方向</w:t>
            </w:r>
          </w:p>
        </w:tc>
        <w:tc>
          <w:tcPr>
            <w:tcW w:w="2415" w:type="dxa"/>
            <w:tcBorders>
              <w:top w:val="single" w:color="auto" w:sz="8" w:space="0"/>
              <w:left w:val="single" w:color="auto" w:sz="8" w:space="0"/>
              <w:bottom w:val="single" w:color="auto" w:sz="8" w:space="0"/>
              <w:right w:val="single" w:color="auto" w:sz="8" w:space="0"/>
            </w:tcBorders>
            <w:shd w:val="clear"/>
            <w:vAlign w:val="center"/>
          </w:tcPr>
          <w:p>
            <w:pPr>
              <w:rPr/>
            </w:pPr>
            <w:r>
              <w:rPr>
                <w:rFonts w:hint="eastAsia"/>
                <w:lang w:val="en-US" w:eastAsia="zh-CN"/>
              </w:rPr>
              <w:t>考生编号</w:t>
            </w:r>
          </w:p>
        </w:tc>
        <w:tc>
          <w:tcPr>
            <w:tcW w:w="1410" w:type="dxa"/>
            <w:tcBorders>
              <w:top w:val="single" w:color="auto" w:sz="8" w:space="0"/>
              <w:left w:val="single" w:color="auto" w:sz="8" w:space="0"/>
              <w:bottom w:val="single" w:color="auto" w:sz="8" w:space="0"/>
              <w:right w:val="single" w:color="auto" w:sz="8" w:space="0"/>
            </w:tcBorders>
            <w:shd w:val="clear"/>
            <w:vAlign w:val="center"/>
          </w:tcPr>
          <w:p>
            <w:pPr>
              <w:rPr/>
            </w:pPr>
            <w:r>
              <w:rPr>
                <w:rFonts w:hint="eastAsia"/>
                <w:lang w:val="en-US" w:eastAsia="zh-CN"/>
              </w:rPr>
              <w:t>考生姓名</w:t>
            </w:r>
          </w:p>
        </w:tc>
        <w:tc>
          <w:tcPr>
            <w:tcW w:w="1605" w:type="dxa"/>
            <w:tcBorders>
              <w:top w:val="single" w:color="auto" w:sz="8" w:space="0"/>
              <w:left w:val="single" w:color="auto" w:sz="8" w:space="0"/>
              <w:bottom w:val="single" w:color="auto" w:sz="8" w:space="0"/>
              <w:right w:val="single" w:color="auto" w:sz="8" w:space="0"/>
            </w:tcBorders>
            <w:shd w:val="clear"/>
            <w:vAlign w:val="center"/>
          </w:tcPr>
          <w:p>
            <w:pPr>
              <w:rPr/>
            </w:pPr>
            <w:r>
              <w:rPr>
                <w:rFonts w:hint="eastAsia"/>
                <w:lang w:val="en-US" w:eastAsia="zh-CN"/>
              </w:rPr>
              <w:t>初试总成绩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vMerge w:val="restart"/>
            <w:tcBorders>
              <w:top w:val="single" w:color="auto" w:sz="8" w:space="0"/>
              <w:left w:val="single" w:color="auto" w:sz="8" w:space="0"/>
              <w:bottom w:val="single" w:color="auto" w:sz="8" w:space="0"/>
              <w:right w:val="single" w:color="auto" w:sz="8" w:space="0"/>
            </w:tcBorders>
            <w:shd w:val="clear"/>
            <w:vAlign w:val="center"/>
          </w:tcPr>
          <w:p>
            <w:pPr>
              <w:rPr/>
            </w:pPr>
            <w:r>
              <w:rPr>
                <w:rFonts w:hint="eastAsia"/>
                <w:lang w:val="en-US" w:eastAsia="zh-CN"/>
              </w:rPr>
              <w:t>01植物杂种优势利用</w:t>
            </w:r>
          </w:p>
          <w:p>
            <w:pPr>
              <w:rPr/>
            </w:pPr>
            <w:r>
              <w:rPr>
                <w:rFonts w:hint="eastAsia"/>
                <w:lang w:val="en-US" w:eastAsia="zh-CN"/>
              </w:rPr>
              <w:t>02植物遗传学与品种培育</w:t>
            </w:r>
          </w:p>
          <w:p>
            <w:pPr>
              <w:rPr/>
            </w:pPr>
            <w:r>
              <w:rPr>
                <w:rFonts w:hint="eastAsia"/>
                <w:lang w:val="en-US" w:eastAsia="zh-CN"/>
              </w:rPr>
              <w:t>03杂草生物学与防控</w:t>
            </w:r>
          </w:p>
          <w:p>
            <w:pPr>
              <w:rPr/>
            </w:pPr>
            <w:r>
              <w:rPr>
                <w:rFonts w:hint="eastAsia"/>
                <w:lang w:val="en-US" w:eastAsia="zh-CN"/>
              </w:rPr>
              <w:t>04生物资源学</w:t>
            </w:r>
          </w:p>
          <w:p>
            <w:pPr>
              <w:rPr/>
            </w:pPr>
            <w:r>
              <w:rPr>
                <w:rFonts w:hint="eastAsia"/>
                <w:lang w:val="en-US" w:eastAsia="zh-CN"/>
              </w:rPr>
              <w:t>05微生物与植物互作</w:t>
            </w:r>
          </w:p>
          <w:p>
            <w:pPr>
              <w:rPr/>
            </w:pPr>
            <w:r>
              <w:rPr>
                <w:rFonts w:hint="eastAsia"/>
                <w:lang w:val="en-US" w:eastAsia="zh-CN"/>
              </w:rPr>
              <w:t>06生物化学与分子生物学</w:t>
            </w: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105323432008876</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刘熙钦</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420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105323430808870</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谭绿妮</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411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105323432108878</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熊洁</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400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105323431408872</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张凡丽</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400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105323410608887</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薛可欣</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398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105323413608889</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周彤</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389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105323430708867</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胡润洲</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386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105323432708883</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段欣宇</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370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105323430708869</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陈艳艳</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367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105323430708863</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李颖曦</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365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105323430708862</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吴柳兵</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363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105323432308880</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张敏</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358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vMerge w:val="restart"/>
            <w:tcBorders>
              <w:top w:val="single" w:color="auto" w:sz="8" w:space="0"/>
              <w:left w:val="single" w:color="auto" w:sz="8" w:space="0"/>
              <w:bottom w:val="single" w:color="auto" w:sz="8" w:space="0"/>
              <w:right w:val="single" w:color="auto" w:sz="8" w:space="0"/>
            </w:tcBorders>
            <w:shd w:val="clear"/>
            <w:vAlign w:val="center"/>
          </w:tcPr>
          <w:p>
            <w:pPr>
              <w:rPr/>
            </w:pPr>
            <w:r>
              <w:rPr>
                <w:rFonts w:hint="eastAsia"/>
                <w:lang w:val="en-US" w:eastAsia="zh-CN"/>
              </w:rPr>
              <w:t>07食品生物化学</w:t>
            </w: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105323431008901</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陈汝轩</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407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105323370608913</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张宇桂</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405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105323431708904</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左莎莎</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397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105323430708897</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刘妍</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393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105323432708907</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胡方林</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377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105323612408923</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王改霞</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353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105323130508909</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罗艺璇</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346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0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241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105323441008920</w:t>
            </w:r>
          </w:p>
        </w:tc>
        <w:tc>
          <w:tcPr>
            <w:tcW w:w="1410"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赖慧婷</w:t>
            </w:r>
          </w:p>
        </w:tc>
        <w:tc>
          <w:tcPr>
            <w:tcW w:w="1605" w:type="dxa"/>
            <w:tcBorders>
              <w:top w:val="single" w:color="auto" w:sz="8" w:space="0"/>
              <w:left w:val="single" w:color="auto" w:sz="8" w:space="0"/>
              <w:bottom w:val="single" w:color="auto" w:sz="8" w:space="0"/>
              <w:right w:val="single" w:color="auto" w:sz="8" w:space="0"/>
            </w:tcBorders>
            <w:shd w:val="clear"/>
            <w:vAlign w:val="bottom"/>
          </w:tcPr>
          <w:p>
            <w:pPr>
              <w:rPr/>
            </w:pPr>
            <w:r>
              <w:rPr>
                <w:rFonts w:hint="eastAsia"/>
                <w:lang w:val="en-US" w:eastAsia="zh-CN"/>
              </w:rPr>
              <w:t>341</w:t>
            </w:r>
          </w:p>
        </w:tc>
      </w:tr>
    </w:tbl>
    <w:p>
      <w:pPr>
        <w:rPr/>
      </w:pPr>
    </w:p>
    <w:p>
      <w:pPr>
        <w:rPr/>
      </w:pPr>
    </w:p>
    <w:p>
      <w:pPr>
        <w:rPr/>
      </w:pPr>
    </w:p>
    <w:p>
      <w:pPr>
        <w:rPr/>
      </w:pPr>
    </w:p>
    <w:p>
      <w:pPr>
        <w:rPr/>
      </w:pPr>
      <w:r>
        <w:rPr>
          <w:lang w:val="en-US" w:eastAsia="zh-CN"/>
        </w:rPr>
        <w:t>附件2</w:t>
      </w:r>
    </w:p>
    <w:p>
      <w:pPr>
        <w:rPr/>
      </w:pPr>
      <w:r>
        <w:rPr>
          <w:lang w:val="en-US" w:eastAsia="zh-CN"/>
        </w:rPr>
        <w:t>诚信复试承诺书</w:t>
      </w:r>
    </w:p>
    <w:p>
      <w:pPr>
        <w:rPr/>
      </w:pPr>
      <w:r>
        <w:rPr>
          <w:lang w:val="en-US" w:eastAsia="zh-CN"/>
        </w:rPr>
        <w:t>我是参加2023年全国硕士研究生招生复试的考生，在此我郑重承诺：</w:t>
      </w:r>
    </w:p>
    <w:p>
      <w:pPr>
        <w:rPr/>
      </w:pPr>
      <w:r>
        <w:rPr>
          <w:lang w:val="en-US" w:eastAsia="zh-CN"/>
        </w:rPr>
        <w:t>1.我已清楚了解湖南大学研究生招生复试的相关规定和要求，并承诺严格执行。</w:t>
      </w:r>
    </w:p>
    <w:p>
      <w:pPr>
        <w:rPr/>
      </w:pPr>
      <w:r>
        <w:rPr>
          <w:lang w:val="en-US" w:eastAsia="zh-CN"/>
        </w:rPr>
        <w:t>2.我已清楚了解，根据《中华人民共和国刑法修正案（九）》，代替他人或者让他人代替自己参加考试的行为都将触犯刑法。</w:t>
      </w:r>
    </w:p>
    <w:p>
      <w:pPr>
        <w:rPr/>
      </w:pPr>
      <w:r>
        <w:rPr>
          <w:lang w:val="en-US" w:eastAsia="zh-CN"/>
        </w:rPr>
        <w:t>3.我承诺提交的复试资格审核材料真实有效。</w:t>
      </w:r>
    </w:p>
    <w:p>
      <w:pPr>
        <w:rPr/>
      </w:pPr>
      <w:r>
        <w:rPr>
          <w:lang w:val="en-US" w:eastAsia="zh-CN"/>
        </w:rPr>
        <w:t>4.我承诺复试过程中，没有其他人员进行违规协助。</w:t>
      </w:r>
    </w:p>
    <w:p>
      <w:pPr>
        <w:rPr/>
      </w:pPr>
      <w:r>
        <w:rPr>
          <w:lang w:val="en-US" w:eastAsia="zh-CN"/>
        </w:rPr>
        <w:t>5.我承诺复试过程中，本人不对复试过程进行录音录像或截屏。</w:t>
      </w:r>
    </w:p>
    <w:p>
      <w:pPr>
        <w:rPr/>
      </w:pPr>
      <w:r>
        <w:rPr>
          <w:lang w:val="en-US" w:eastAsia="zh-CN"/>
        </w:rPr>
        <w:t>6.我承诺复试中或复试完成后，不将复试内容向其他考生透露或在网络传播。</w:t>
      </w:r>
    </w:p>
    <w:p>
      <w:pPr>
        <w:rPr/>
      </w:pPr>
      <w:r>
        <w:rPr>
          <w:lang w:val="en-US" w:eastAsia="zh-CN"/>
        </w:rPr>
        <w:t>7.我已清楚了解，在复试过程中如有违规行为，将按照《国家教育考试违规处理办法》《普通高等学校招生违规行为处理暂行办法》等规定进行严肃处理，取消录取资格，记入《考生考试诚信档案》。</w:t>
      </w:r>
    </w:p>
    <w:p>
      <w:pPr>
        <w:rPr/>
      </w:pPr>
    </w:p>
    <w:p>
      <w:pPr>
        <w:rPr/>
      </w:pPr>
    </w:p>
    <w:p>
      <w:pPr>
        <w:rPr/>
      </w:pPr>
      <w:r>
        <w:rPr>
          <w:lang w:val="en-US" w:eastAsia="zh-CN"/>
        </w:rPr>
        <w:t>                                                          承诺人：</w:t>
      </w:r>
    </w:p>
    <w:p>
      <w:pPr>
        <w:rPr/>
      </w:pPr>
      <w:r>
        <w:rPr>
          <w:lang w:val="en-US" w:eastAsia="zh-CN"/>
        </w:rPr>
        <w:t>                              2023年X月X日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olor:bl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08E81CF0"/>
    <w:rsid w:val="08F6004E"/>
    <w:rsid w:val="14FA3973"/>
    <w:rsid w:val="1E1F1995"/>
    <w:rsid w:val="21036295"/>
    <w:rsid w:val="358D47C4"/>
    <w:rsid w:val="367B576D"/>
    <w:rsid w:val="37A621A3"/>
    <w:rsid w:val="3B323F94"/>
    <w:rsid w:val="54951BA0"/>
    <w:rsid w:val="5FA84CF3"/>
    <w:rsid w:val="6EED60BF"/>
    <w:rsid w:val="707B0000"/>
    <w:rsid w:val="720F141E"/>
    <w:rsid w:val="72D95C35"/>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2664</Words>
  <Characters>2805</Characters>
  <Lines>0</Lines>
  <Paragraphs>0</Paragraphs>
  <TotalTime>36</TotalTime>
  <ScaleCrop>false</ScaleCrop>
  <LinksUpToDate>false</LinksUpToDate>
  <CharactersWithSpaces>2815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2023-03-24T02:33:39Z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EF58B9C188A24A93B8E97A407064AD86</vt:lpwstr>
  </property>
</Properties>
</file>