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税务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025300</w:t>
      </w:r>
    </w:p>
    <w:p>
      <w:pPr>
        <w:adjustRightInd w:val="0"/>
        <w:snapToGrid w:val="0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adjustRightInd w:val="0"/>
        <w:snapToGrid w:val="0"/>
        <w:jc w:val="left"/>
        <w:rPr>
          <w:rFonts w:ascii="宋体" w:hAnsi="宋体" w:cs="宋体"/>
          <w:color w:val="000000"/>
          <w:sz w:val="24"/>
          <w:szCs w:val="20"/>
        </w:rPr>
      </w:pPr>
      <w:r>
        <w:rPr>
          <w:rFonts w:hint="eastAsia" w:ascii="宋体" w:hAnsi="宋体" w:cs="宋体"/>
          <w:b/>
          <w:sz w:val="24"/>
          <w:szCs w:val="20"/>
        </w:rPr>
        <w:t>学科点简介:</w:t>
      </w:r>
      <w:r>
        <w:rPr>
          <w:rFonts w:hint="eastAsia" w:ascii="宋体" w:hAnsi="宋体" w:cs="楷体_GB2312"/>
          <w:color w:val="000000"/>
          <w:sz w:val="24"/>
        </w:rPr>
        <w:t xml:space="preserve"> 本专业是广东财经大学传统优势专业，也是广东财经大学省级优势重点学科应用经济学的重要组成部分，入选全国首批国家级一流专业建设点。本专业依托广东省普通高校人文社科重点研究基地“广东地方公共财政研究中心”、广东省重点实验室“广东省财税大数据重点实验室”和广东省协同育人平台“税收学专业协同育人基地”，与税务部门共建国家级大学生实践教学基地、粤港澳大湾区广州税务学</w:t>
      </w:r>
      <w:r>
        <w:rPr>
          <w:rFonts w:hint="eastAsia" w:ascii="宋体" w:hAnsi="宋体" w:cs="宋体"/>
          <w:color w:val="000000"/>
          <w:sz w:val="24"/>
          <w:szCs w:val="20"/>
        </w:rPr>
        <w:t>院、广东纳税服务研究中心、财税信息化研究中心等多个高层次平台，提供丰富多元的实验实践环境。专业师资力量雄厚，</w:t>
      </w:r>
      <w:r>
        <w:rPr>
          <w:rFonts w:hint="eastAsia" w:ascii="宋体" w:hAnsi="宋体"/>
          <w:color w:val="000000"/>
          <w:sz w:val="24"/>
        </w:rPr>
        <w:t>现有教授</w:t>
      </w:r>
      <w:r>
        <w:rPr>
          <w:rFonts w:hint="eastAsia" w:ascii="宋体" w:hAnsi="宋体"/>
          <w:color w:val="000000"/>
          <w:sz w:val="24"/>
          <w:lang w:val="en-US" w:eastAsia="zh-CN"/>
        </w:rPr>
        <w:t>14</w:t>
      </w:r>
      <w:r>
        <w:rPr>
          <w:rFonts w:hint="eastAsia" w:ascii="宋体" w:hAnsi="宋体"/>
          <w:color w:val="000000"/>
          <w:sz w:val="24"/>
        </w:rPr>
        <w:t>人，副教授2</w:t>
      </w: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，其中，国务院特殊津贴专家1 人，博士生导师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人，硕士生导师</w:t>
      </w:r>
      <w:r>
        <w:rPr>
          <w:rFonts w:hint="eastAsia" w:ascii="宋体" w:hAnsi="宋体"/>
          <w:color w:val="000000"/>
          <w:sz w:val="24"/>
          <w:lang w:val="en-US" w:eastAsia="zh-CN"/>
        </w:rPr>
        <w:t>39</w:t>
      </w:r>
      <w:r>
        <w:rPr>
          <w:rFonts w:hint="eastAsia" w:ascii="宋体" w:hAnsi="宋体"/>
          <w:color w:val="000000"/>
          <w:sz w:val="24"/>
        </w:rPr>
        <w:t>人，名誉教授2人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</w:rPr>
        <w:t>客座教授</w:t>
      </w:r>
      <w:r>
        <w:rPr>
          <w:rFonts w:hint="eastAsia" w:ascii="宋体" w:hAnsi="宋体"/>
          <w:color w:val="000000"/>
          <w:sz w:val="24"/>
          <w:lang w:val="en-US" w:eastAsia="zh-CN"/>
        </w:rPr>
        <w:t>14</w:t>
      </w:r>
      <w:r>
        <w:rPr>
          <w:rFonts w:hint="eastAsia" w:ascii="宋体" w:hAnsi="宋体"/>
          <w:color w:val="000000"/>
          <w:sz w:val="24"/>
        </w:rPr>
        <w:t>人。近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年学院教师承担各类科研项目</w:t>
      </w:r>
      <w:r>
        <w:rPr>
          <w:rFonts w:hint="eastAsia" w:ascii="宋体" w:hAnsi="宋体"/>
          <w:color w:val="000000"/>
          <w:sz w:val="24"/>
          <w:lang w:val="en-US" w:eastAsia="zh-CN"/>
        </w:rPr>
        <w:t>近100</w:t>
      </w:r>
      <w:r>
        <w:rPr>
          <w:rFonts w:hint="eastAsia" w:ascii="宋体" w:hAnsi="宋体" w:cs="宋体"/>
          <w:color w:val="000000"/>
          <w:sz w:val="24"/>
          <w:szCs w:val="20"/>
        </w:rPr>
        <w:t>项，其中国家级和省部级项目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27</w:t>
      </w:r>
      <w:r>
        <w:rPr>
          <w:rFonts w:hint="eastAsia" w:ascii="宋体" w:hAnsi="宋体" w:cs="宋体"/>
          <w:color w:val="000000"/>
          <w:sz w:val="24"/>
          <w:szCs w:val="20"/>
        </w:rPr>
        <w:t>项，各类科研经费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900余</w:t>
      </w:r>
      <w:r>
        <w:rPr>
          <w:rFonts w:hint="eastAsia" w:ascii="宋体" w:hAnsi="宋体" w:cs="宋体"/>
          <w:color w:val="000000"/>
          <w:sz w:val="24"/>
          <w:szCs w:val="20"/>
        </w:rPr>
        <w:t>万元，出版专著、教材、编著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4"/>
          <w:szCs w:val="20"/>
        </w:rPr>
        <w:t>部，在《经济研究》等国内外核心刊物发表学术论文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100余</w:t>
      </w:r>
      <w:r>
        <w:rPr>
          <w:rFonts w:hint="eastAsia" w:ascii="宋体" w:hAnsi="宋体" w:cs="宋体"/>
          <w:color w:val="000000"/>
          <w:sz w:val="24"/>
          <w:szCs w:val="20"/>
        </w:rPr>
        <w:t>篇，获省部级科研奖励2人次，获省部级以上批示</w:t>
      </w:r>
      <w:r>
        <w:rPr>
          <w:rFonts w:hint="eastAsia" w:ascii="宋体" w:hAnsi="宋体" w:cs="宋体"/>
          <w:color w:val="000000"/>
          <w:sz w:val="24"/>
          <w:szCs w:val="20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采纳</w:t>
      </w:r>
      <w:r>
        <w:rPr>
          <w:rFonts w:hint="eastAsia" w:ascii="宋体" w:hAnsi="宋体" w:cs="宋体"/>
          <w:color w:val="000000"/>
          <w:sz w:val="24"/>
          <w:szCs w:val="20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19项</w:t>
      </w:r>
      <w:r>
        <w:rPr>
          <w:rFonts w:hint="eastAsia" w:ascii="宋体" w:hAnsi="宋体" w:cs="宋体"/>
          <w:color w:val="000000"/>
          <w:sz w:val="24"/>
          <w:szCs w:val="20"/>
        </w:rPr>
        <w:t>。专任教师中6人拥有注册税务师执业资格，6人在税务中介机构兼职或作为合伙人；在财税部门及中介机构聘请了数十名专家为校外兼职导师，在培养过程中实施校内外“双导师制”。近三年，税务专业硕士毕业生中在珠三角地区银行、证券、国企、机关事业单位以及普华永道、毕马威等著名外企和咨询机构就业的比重达到60%以上。</w:t>
      </w:r>
    </w:p>
    <w:p>
      <w:pPr>
        <w:widowControl/>
        <w:wordWrap w:val="0"/>
        <w:jc w:val="left"/>
        <w:rPr>
          <w:rFonts w:ascii="宋体" w:hAnsi="宋体" w:cs="宋体"/>
          <w:bCs/>
          <w:kern w:val="0"/>
          <w:szCs w:val="21"/>
        </w:rPr>
      </w:pPr>
    </w:p>
    <w:p>
      <w:pPr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培养目标：</w:t>
      </w:r>
      <w:r>
        <w:rPr>
          <w:rFonts w:hint="eastAsia" w:ascii="宋体" w:hAnsi="宋体" w:cs="宋体"/>
          <w:bCs/>
          <w:sz w:val="24"/>
        </w:rPr>
        <w:t>适应国家税收发展人才需要，立足粤港澳大湾区，面向全国，为税务机关等政府部门、企事业单位、涉税专业服务机构等部门，培养政治素质高、社会责任感强、专业基础扎实、具有较强职业能力和宽广国际视野的高层次、复合型税务专门人才。</w:t>
      </w:r>
    </w:p>
    <w:p>
      <w:pPr>
        <w:jc w:val="left"/>
        <w:rPr>
          <w:rFonts w:ascii="宋体" w:hAnsi="宋体" w:cs="宋体"/>
          <w:bCs/>
          <w:color w:val="000000"/>
          <w:sz w:val="24"/>
        </w:rPr>
      </w:pPr>
    </w:p>
    <w:p>
      <w:pPr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主要课程：</w:t>
      </w:r>
      <w:r>
        <w:rPr>
          <w:rFonts w:hint="eastAsia" w:ascii="宋体" w:hAnsi="宋体" w:cs="宋体"/>
          <w:bCs/>
          <w:color w:val="000000"/>
          <w:sz w:val="24"/>
        </w:rPr>
        <w:t>税收理论与政策、中国税制专题、国际税收专题、税务管理专题、税务筹划专题、税务稽查专题、税收数字化专题、高级税务会计、大数据税收风险管理专题、涉税服务专题、纳税评估实务等。</w:t>
      </w:r>
    </w:p>
    <w:p>
      <w:pPr>
        <w:jc w:val="left"/>
        <w:rPr>
          <w:rFonts w:ascii="宋体" w:hAnsi="宋体" w:cs="宋体"/>
          <w:bCs/>
          <w:color w:val="000000"/>
          <w:szCs w:val="21"/>
        </w:rPr>
      </w:pPr>
    </w:p>
    <w:p>
      <w:pPr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就业方向：</w:t>
      </w:r>
      <w:r>
        <w:rPr>
          <w:rFonts w:hint="eastAsia" w:ascii="宋体" w:hAnsi="宋体" w:cs="宋体"/>
          <w:bCs/>
          <w:color w:val="000000"/>
          <w:sz w:val="24"/>
        </w:rPr>
        <w:t>毕业生的就业去向主要在政府税务部门、涉税专业服务机构、银行等金融机构及其它大中型企事业单位从事税务管理、税务代理、税收筹划等相关工作，或进一步报考相关学科博士研究生。</w:t>
      </w:r>
    </w:p>
    <w:p>
      <w:pPr>
        <w:jc w:val="left"/>
        <w:rPr>
          <w:rFonts w:ascii="宋体" w:hAnsi="宋体" w:cs="宋体"/>
          <w:bCs/>
          <w:color w:val="000000"/>
          <w:sz w:val="24"/>
        </w:rPr>
      </w:pPr>
    </w:p>
    <w:p>
      <w:pPr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 w:val="24"/>
        </w:rPr>
        <w:t>专业代码：025300                         咨询电话：020-84096158</w:t>
      </w:r>
      <w:r>
        <w:rPr>
          <w:rFonts w:hint="eastAsia" w:ascii="宋体" w:hAnsi="宋体" w:cs="宋体"/>
          <w:bCs/>
          <w:szCs w:val="21"/>
        </w:rPr>
        <w:t xml:space="preserve">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525"/>
        <w:gridCol w:w="294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3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税收政策与管理</w:t>
            </w:r>
          </w:p>
        </w:tc>
        <w:tc>
          <w:tcPr>
            <w:tcW w:w="29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（1）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思想政治理论（100分）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（2）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英语二（100分）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（3）▲396经济类综合能力（150分）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（4）税务专业基础（150分）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F528-中国税制（100分）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36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企业税务</w:t>
            </w:r>
          </w:p>
        </w:tc>
        <w:tc>
          <w:tcPr>
            <w:tcW w:w="2943" w:type="dxa"/>
            <w:vMerge w:val="continue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36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涉税专业服务</w:t>
            </w:r>
          </w:p>
        </w:tc>
        <w:tc>
          <w:tcPr>
            <w:tcW w:w="2943" w:type="dxa"/>
            <w:vMerge w:val="continue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▲</w:t>
      </w:r>
      <w:r>
        <w:rPr>
          <w:rFonts w:hint="eastAsia" w:ascii="宋体" w:hAnsi="宋体" w:cs="宋体"/>
          <w:b/>
          <w:bCs/>
          <w:color w:val="000000"/>
          <w:sz w:val="24"/>
        </w:rPr>
        <w:t>表示统考科目或联考科目，考试题型、考试大纲以教育部公布为准。其他为自命题科目。</w:t>
      </w:r>
    </w:p>
    <w:p>
      <w:pPr>
        <w:snapToGrid w:val="0"/>
        <w:rPr>
          <w:rFonts w:ascii="宋体" w:hAnsi="宋体" w:cs="宋体"/>
          <w:b/>
          <w:sz w:val="24"/>
        </w:rPr>
      </w:pPr>
    </w:p>
    <w:p>
      <w:pPr>
        <w:snapToGrid w:val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考试题型及相应分值：</w:t>
      </w:r>
    </w:p>
    <w:p>
      <w:pPr>
        <w:widowControl/>
        <w:wordWrap w:val="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《税务专业基础》</w:t>
      </w:r>
    </w:p>
    <w:p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简答题（ </w:t>
      </w:r>
      <w:r>
        <w:rPr>
          <w:rFonts w:hint="eastAsia" w:cs="宋体"/>
          <w:bCs/>
          <w:kern w:val="0"/>
          <w:sz w:val="24"/>
        </w:rPr>
        <w:t>5题，每题10分，共50分</w:t>
      </w:r>
      <w:r>
        <w:rPr>
          <w:rFonts w:hint="eastAsia"/>
          <w:sz w:val="24"/>
        </w:rPr>
        <w:t xml:space="preserve"> ）</w:t>
      </w:r>
    </w:p>
    <w:p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材料分析题（5题</w:t>
      </w:r>
      <w:r>
        <w:rPr>
          <w:rFonts w:hint="eastAsia" w:cs="宋体"/>
          <w:bCs/>
          <w:kern w:val="0"/>
          <w:sz w:val="24"/>
        </w:rPr>
        <w:t>，每题10分，共50分</w:t>
      </w:r>
      <w:r>
        <w:rPr>
          <w:rFonts w:hint="eastAsia"/>
          <w:sz w:val="24"/>
        </w:rPr>
        <w:t>）</w:t>
      </w:r>
    </w:p>
    <w:p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计算题（2</w:t>
      </w:r>
      <w:r>
        <w:rPr>
          <w:rFonts w:hint="eastAsia" w:cs="宋体"/>
          <w:bCs/>
          <w:kern w:val="0"/>
          <w:sz w:val="24"/>
        </w:rPr>
        <w:t>题，每题10分，共20分）</w:t>
      </w:r>
    </w:p>
    <w:p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论述题（2</w:t>
      </w:r>
      <w:r>
        <w:rPr>
          <w:rFonts w:hint="eastAsia" w:cs="宋体"/>
          <w:bCs/>
          <w:kern w:val="0"/>
          <w:sz w:val="24"/>
        </w:rPr>
        <w:t>题，每题15分，共30分）</w:t>
      </w:r>
    </w:p>
    <w:p>
      <w:pPr>
        <w:widowControl/>
        <w:wordWrap w:val="0"/>
        <w:jc w:val="left"/>
        <w:rPr>
          <w:rFonts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《中国税制》</w:t>
      </w:r>
    </w:p>
    <w:p>
      <w:pPr>
        <w:widowControl/>
        <w:wordWrap w:val="0"/>
        <w:jc w:val="left"/>
        <w:rPr>
          <w:rFonts w:cs="宋体"/>
          <w:bCs/>
          <w:kern w:val="0"/>
          <w:sz w:val="24"/>
        </w:rPr>
      </w:pPr>
      <w:r>
        <w:rPr>
          <w:rFonts w:hint="eastAsia" w:cs="宋体"/>
          <w:bCs/>
          <w:kern w:val="0"/>
          <w:sz w:val="24"/>
        </w:rPr>
        <w:t>1.材料分析题（</w:t>
      </w:r>
      <w:r>
        <w:rPr>
          <w:rFonts w:cs="宋体"/>
          <w:bCs/>
          <w:kern w:val="0"/>
          <w:sz w:val="24"/>
        </w:rPr>
        <w:t>3</w:t>
      </w:r>
      <w:r>
        <w:rPr>
          <w:rFonts w:hint="eastAsia" w:cs="宋体"/>
          <w:bCs/>
          <w:kern w:val="0"/>
          <w:sz w:val="24"/>
        </w:rPr>
        <w:t>题，每题10分，共</w:t>
      </w:r>
      <w:r>
        <w:rPr>
          <w:rFonts w:cs="宋体"/>
          <w:bCs/>
          <w:kern w:val="0"/>
          <w:sz w:val="24"/>
        </w:rPr>
        <w:t>3</w:t>
      </w:r>
      <w:r>
        <w:rPr>
          <w:rFonts w:hint="eastAsia" w:cs="宋体"/>
          <w:bCs/>
          <w:kern w:val="0"/>
          <w:sz w:val="24"/>
        </w:rPr>
        <w:t>0分）</w:t>
      </w:r>
    </w:p>
    <w:p>
      <w:pPr>
        <w:widowControl/>
        <w:wordWrap w:val="0"/>
        <w:jc w:val="left"/>
        <w:rPr>
          <w:rFonts w:cs="宋体"/>
          <w:bCs/>
          <w:kern w:val="0"/>
          <w:sz w:val="24"/>
        </w:rPr>
      </w:pPr>
      <w:r>
        <w:rPr>
          <w:rFonts w:hint="eastAsia" w:cs="宋体"/>
          <w:bCs/>
          <w:kern w:val="0"/>
          <w:sz w:val="24"/>
        </w:rPr>
        <w:t>2.计算题（3题，每题10分，共30分）</w:t>
      </w:r>
    </w:p>
    <w:p>
      <w:pPr>
        <w:widowControl/>
        <w:wordWrap w:val="0"/>
        <w:jc w:val="left"/>
        <w:rPr>
          <w:rFonts w:cs="宋体"/>
          <w:bCs/>
          <w:kern w:val="0"/>
          <w:sz w:val="24"/>
        </w:rPr>
      </w:pPr>
      <w:r>
        <w:rPr>
          <w:rFonts w:hint="eastAsia" w:cs="宋体"/>
          <w:bCs/>
          <w:kern w:val="0"/>
          <w:sz w:val="24"/>
        </w:rPr>
        <w:t>3.论述题（</w:t>
      </w:r>
      <w:r>
        <w:rPr>
          <w:rFonts w:cs="宋体"/>
          <w:bCs/>
          <w:kern w:val="0"/>
          <w:sz w:val="24"/>
        </w:rPr>
        <w:t>2</w:t>
      </w:r>
      <w:r>
        <w:rPr>
          <w:rFonts w:hint="eastAsia" w:cs="宋体"/>
          <w:bCs/>
          <w:kern w:val="0"/>
          <w:sz w:val="24"/>
        </w:rPr>
        <w:t>题，每题20分，共</w:t>
      </w:r>
      <w:r>
        <w:rPr>
          <w:rFonts w:cs="宋体"/>
          <w:bCs/>
          <w:kern w:val="0"/>
          <w:sz w:val="24"/>
        </w:rPr>
        <w:t>4</w:t>
      </w:r>
      <w:r>
        <w:rPr>
          <w:rFonts w:hint="eastAsia" w:cs="宋体"/>
          <w:bCs/>
          <w:kern w:val="0"/>
          <w:sz w:val="24"/>
        </w:rPr>
        <w:t>0分）</w:t>
      </w:r>
    </w:p>
    <w:p>
      <w:pPr>
        <w:widowControl/>
        <w:wordWrap w:val="0"/>
        <w:jc w:val="left"/>
        <w:rPr>
          <w:rFonts w:ascii="宋体" w:hAnsi="宋体" w:cs="宋体"/>
          <w:bCs/>
          <w:kern w:val="0"/>
          <w:szCs w:val="21"/>
        </w:rPr>
      </w:pPr>
    </w:p>
    <w:p>
      <w:pPr>
        <w:adjustRightInd w:val="0"/>
        <w:snapToGrid w:val="0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宋体" w:hAnsi="宋体" w:cs="宋体"/>
          <w:b/>
          <w:sz w:val="24"/>
        </w:rPr>
        <w:t>考试大纲：</w:t>
      </w:r>
    </w:p>
    <w:p>
      <w:pPr>
        <w:adjustRightInd w:val="0"/>
        <w:snapToGrid w:val="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《税务专业基础》</w:t>
      </w:r>
    </w:p>
    <w:p>
      <w:pPr>
        <w:adjustRightInd w:val="0"/>
        <w:snapToGrid w:val="0"/>
        <w:ind w:firstLine="120" w:firstLineChars="50"/>
        <w:rPr>
          <w:rFonts w:ascii="宋体" w:hAnsi="宋体" w:cs="宋体"/>
          <w:b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0"/>
        </w:rPr>
        <w:t>《税务专业基础》考试大纲概述：</w:t>
      </w:r>
    </w:p>
    <w:p>
      <w:pPr>
        <w:autoSpaceDN w:val="0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主要内容为税收的产生与发展、税收的职能与作用、税收原则、税制理论、税制结构、税收的经济效应、税收负担、税收管理及国际税收等。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一、</w:t>
      </w:r>
      <w:r>
        <w:rPr>
          <w:rFonts w:hint="eastAsia" w:ascii="宋体" w:hAnsi="宋体" w:cs="宋体"/>
          <w:bCs/>
          <w:kern w:val="0"/>
          <w:sz w:val="24"/>
        </w:rPr>
        <w:t>税收的产生与发展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税收的产生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税收的发展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税收的本质与特征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二、税收的职能与作用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税收的职能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税收的作用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三、税收原则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税收原则的内涵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税收原则演进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现代税收原则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四、税制理论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税制的内涵与作用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税制的构成要素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税收分类。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五、税制结构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税制结构的内涵及分类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发达国家税制结构变迁趋势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我国税制结构的优化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六、税收的经济效应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税收的微观经济效应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税收的宏观经济效应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七、税收负担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税收负担的内涵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宏观税收负担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微观税收负担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税负转嫁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八、税收管理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税收管理概述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税源管理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纳税评估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纳税服务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税收遵从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九、国际税收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国际税收的产生和发展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国际税收管辖权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国际重复征税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国际避税及反避税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国际税收竞争</w:t>
      </w:r>
    </w:p>
    <w:p>
      <w:pPr>
        <w:ind w:left="420"/>
        <w:rPr>
          <w:rFonts w:ascii="宋体" w:hAnsi="宋体" w:cs="宋体"/>
          <w:bCs/>
          <w:kern w:val="0"/>
          <w:sz w:val="24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b/>
          <w:sz w:val="36"/>
          <w:szCs w:val="21"/>
        </w:rPr>
      </w:pPr>
      <w:r>
        <w:rPr>
          <w:rFonts w:hint="eastAsia" w:ascii="黑体" w:hAnsi="黑体" w:eastAsia="黑体" w:cs="黑体"/>
          <w:b/>
          <w:sz w:val="36"/>
          <w:szCs w:val="21"/>
        </w:rPr>
        <w:t>《中国税制》</w:t>
      </w:r>
    </w:p>
    <w:p>
      <w:pPr>
        <w:adjustRightInd w:val="0"/>
        <w:snapToGrid w:val="0"/>
        <w:ind w:firstLine="120" w:firstLineChars="50"/>
        <w:rPr>
          <w:rFonts w:ascii="宋体" w:hAnsi="宋体" w:cs="宋体"/>
          <w:b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0"/>
        </w:rPr>
        <w:t>《中国税制》考试大纲概述：</w:t>
      </w:r>
    </w:p>
    <w:p>
      <w:pPr>
        <w:widowControl/>
        <w:wordWrap w:val="0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内容主要包括税制基本概念、税制基本要素、流转税、所得税、资源税、行为税等各个实体税法基本规定。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一、税制概述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税收的概念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税收的本质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税收的形式特征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税法、税收法律关系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税收层律责任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二、税制要素与税收分类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税制各要素的概念及内涵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我国现行税收的分类情况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三、流转税制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增值税纳税人、征税范围、课税对象、税率、计算依据、税收优惠及征管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消费税纳税人、征税范围、课税对象、税率、计算依据、税收优惠及征管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烟叶税纳税人、征税范围、课税对象、税率、计算依据、税收优惠及征管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关税纳税人、征税范围、课税对象、税率、计算依据、税收优惠及征管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四、所得税制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所得课税的意义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对所得额课税的征收制度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企业所得税各要素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企业所得税计算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纳税地点及缴纳的具体程序和步骤。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个人所得税的建立和发展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个人所得税的征收制度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个人所得税计算和税收优惠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五、资源税制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资源课税的重要意义，资源税制的税种组成、特点和作用、具体的征收制度。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耕地占用税、耕地占用税的征收制度、耕地占用税的征收对象、纳税人、计税依据和税率、耕地占用税的减免规定及征收管理。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城镇土地使用税征收制度、城镇土地使用税的征税范围、计税依据和税率。城镇土地使用税的免税和征收管理。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土地增值税的征收制度，土地增值税的纳税人、计税依据，土地增值税的免税和征收管理等。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六、财产税制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财产税制的概念、一般财产税和个别财产税的概念和区别、动态财产税和静态财产税的概念和区别。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房产税的征收制度、房产税的征税范围、纳税人、计税依据和税率。房产税的减免规定、征收管理办法。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契税的征收制度、契税的征税范围、纳税人、税率和计税依据。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车船税的征收制度、车船税的征税范围、纳税人、计税依据。车船税的税额计算方法。车船税的减免规定和具体征收管理方法。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七、行为税制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印花税征收制度、印花税的征税范围、计税依据和纳税人。印花税的税率。印花税的缴纳办法、违章处罚和免税。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城市维护建设税的征收制度、城市维护建设税的纳税人、计税依据、税率。城市维护建设税的征收管理、纳税环节、纳税时间、奖罚的有关规定。城市维护建设税的减免税规定。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车辆购置税的征收制度、车辆购置税的纳税人、征税范围和应税行为。车辆购置税的税率与计税依据。车辆购置税的减免。车辆购置税的退税制度。车辆购置税的申报与缴纳。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以上两门课的参考书目：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1.于海峰等编著，《税收学概论》，经济科学出版社，2016年9月。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2.庞凤喜编，《税收原理与中国税制（第六版》，中国财政经济出版社，2020年1月。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3.于海峰等编，《中国税制》，经济科学出版社，2022年9月。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D30F1"/>
    <w:multiLevelType w:val="singleLevel"/>
    <w:tmpl w:val="F20D30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4B1DC5"/>
    <w:multiLevelType w:val="multilevel"/>
    <w:tmpl w:val="4C4B1DC5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5CDE75D1"/>
    <w:multiLevelType w:val="multilevel"/>
    <w:tmpl w:val="5CDE75D1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OGVjZDgwMjI3NzdiYzY2OWI0OWMxMGRkZmExNjUifQ=="/>
  </w:docVars>
  <w:rsids>
    <w:rsidRoot w:val="13FB0392"/>
    <w:rsid w:val="00505C8A"/>
    <w:rsid w:val="00530A20"/>
    <w:rsid w:val="005D43AF"/>
    <w:rsid w:val="00616849"/>
    <w:rsid w:val="007B15AE"/>
    <w:rsid w:val="009F7D3B"/>
    <w:rsid w:val="00B1308A"/>
    <w:rsid w:val="00B53893"/>
    <w:rsid w:val="00DC53B8"/>
    <w:rsid w:val="00DE793B"/>
    <w:rsid w:val="00E321BA"/>
    <w:rsid w:val="00E43DB5"/>
    <w:rsid w:val="04145CA2"/>
    <w:rsid w:val="13FB0392"/>
    <w:rsid w:val="14146482"/>
    <w:rsid w:val="25314F61"/>
    <w:rsid w:val="3FF6285F"/>
    <w:rsid w:val="520A41DD"/>
    <w:rsid w:val="65A26B92"/>
    <w:rsid w:val="6CB2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412</Words>
  <Characters>2350</Characters>
  <Lines>19</Lines>
  <Paragraphs>5</Paragraphs>
  <TotalTime>0</TotalTime>
  <ScaleCrop>false</ScaleCrop>
  <LinksUpToDate>false</LinksUpToDate>
  <CharactersWithSpaces>2757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2021-08-11T00:41:00Z</dcterms:created>
  <dc:creator>Admin</dc:creator>
  <cp:lastModifiedBy>~ing</cp:lastModifiedBy>
  <cp:lastPrinted>2022-09-15T07:57:00Z</cp:lastPrinted>
  <dcterms:modified xsi:type="dcterms:W3CDTF">2023-09-19T06:33:42Z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F3ACDD4FE60648B883981341E7584178_13</vt:lpwstr>
  </property>
</Properties>
</file>