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年材料与新能源学院硕士研究生复试名单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   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420360" cy="714375"/>
            <wp:effectExtent l="0" t="0" r="889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8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77585" cy="740410"/>
            <wp:effectExtent l="0" t="0" r="18415" b="25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87110" cy="1241425"/>
            <wp:effectExtent l="0" t="0" r="8890" b="1587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08D1F07"/>
    <w:rsid w:val="217008EA"/>
    <w:rsid w:val="22D24CAE"/>
    <w:rsid w:val="25E642BC"/>
    <w:rsid w:val="37C75C12"/>
    <w:rsid w:val="3A1763DB"/>
    <w:rsid w:val="3F302C3B"/>
    <w:rsid w:val="467E7FB4"/>
    <w:rsid w:val="4F32757E"/>
    <w:rsid w:val="50074FD7"/>
    <w:rsid w:val="527A02DF"/>
    <w:rsid w:val="552733C1"/>
    <w:rsid w:val="585070F0"/>
    <w:rsid w:val="5CC85FC5"/>
    <w:rsid w:val="64CC31ED"/>
    <w:rsid w:val="67AE67A9"/>
    <w:rsid w:val="77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F33A4BB3AC3B43998F9D889F80B3146F_13</vt:lpwstr>
  </property>
</Properties>
</file>