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szCs w:val="28"/>
        </w:rPr>
      </w:pPr>
      <w:r>
        <w:rPr>
          <w:rFonts w:hint="eastAsia" w:ascii="宋体" w:hAnsi="宋体"/>
          <w:b/>
          <w:sz w:val="28"/>
          <w:szCs w:val="28"/>
        </w:rPr>
        <w:t>文学院202</w:t>
      </w:r>
      <w:r>
        <w:rPr>
          <w:rFonts w:ascii="宋体" w:hAnsi="宋体"/>
          <w:b/>
          <w:sz w:val="28"/>
          <w:szCs w:val="28"/>
        </w:rPr>
        <w:t>4</w:t>
      </w:r>
      <w:r>
        <w:rPr>
          <w:rFonts w:hint="eastAsia" w:ascii="宋体" w:hAnsi="宋体"/>
          <w:b/>
          <w:sz w:val="28"/>
          <w:szCs w:val="28"/>
        </w:rPr>
        <w:t>年硕士研究生招生复试方案</w:t>
      </w:r>
    </w:p>
    <w:p>
      <w:pPr>
        <w:widowControl/>
        <w:spacing w:line="360" w:lineRule="auto"/>
        <w:ind w:firstLine="480" w:firstLineChars="200"/>
        <w:jc w:val="left"/>
        <w:rPr>
          <w:sz w:val="24"/>
        </w:rPr>
      </w:pPr>
    </w:p>
    <w:p>
      <w:pPr>
        <w:widowControl/>
        <w:spacing w:line="360" w:lineRule="auto"/>
        <w:ind w:firstLine="480" w:firstLineChars="200"/>
        <w:jc w:val="left"/>
        <w:rPr>
          <w:rFonts w:ascii="宋体" w:hAnsi="宋体"/>
          <w:sz w:val="24"/>
        </w:rPr>
      </w:pPr>
      <w:r>
        <w:rPr>
          <w:rFonts w:hint="eastAsia"/>
          <w:sz w:val="24"/>
        </w:rPr>
        <w:t>按照学校202</w:t>
      </w:r>
      <w:r>
        <w:rPr>
          <w:sz w:val="24"/>
        </w:rPr>
        <w:t>4</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pPr>
        <w:spacing w:line="360" w:lineRule="auto"/>
        <w:ind w:firstLine="480" w:firstLineChars="200"/>
        <w:rPr>
          <w:rFonts w:ascii="宋体" w:hAnsi="宋体"/>
          <w:sz w:val="24"/>
          <w:highlight w:val="yellow"/>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的国家A区初试成绩基本要求。我院按照1:1.5</w:t>
      </w:r>
      <w:r>
        <w:rPr>
          <w:rFonts w:hint="eastAsia" w:ascii="宋体" w:hAnsi="宋体" w:cs="宋体"/>
          <w:sz w:val="24"/>
        </w:rPr>
        <w:t>的差额比例确定复试资格名单。</w:t>
      </w:r>
    </w:p>
    <w:p>
      <w:pPr>
        <w:numPr>
          <w:ilvl w:val="0"/>
          <w:numId w:val="1"/>
        </w:numPr>
        <w:spacing w:line="360" w:lineRule="auto"/>
        <w:ind w:left="420"/>
        <w:rPr>
          <w:rFonts w:ascii="宋体" w:hAnsi="宋体"/>
          <w:b/>
          <w:bCs/>
          <w:sz w:val="24"/>
        </w:rPr>
      </w:pPr>
      <w:r>
        <w:rPr>
          <w:rFonts w:hint="eastAsia" w:ascii="宋体" w:hAnsi="宋体"/>
          <w:b/>
          <w:bCs/>
          <w:sz w:val="24"/>
        </w:rPr>
        <w:t>复试时间与形式</w:t>
      </w:r>
    </w:p>
    <w:p>
      <w:pPr>
        <w:spacing w:line="360" w:lineRule="auto"/>
        <w:ind w:firstLine="480" w:firstLineChars="200"/>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年3月28日至4月4日，我院采用现场复试的复试形式。详细的复试安排等相关要求另行通知。</w:t>
      </w:r>
    </w:p>
    <w:p>
      <w:pPr>
        <w:numPr>
          <w:ilvl w:val="0"/>
          <w:numId w:val="1"/>
        </w:numPr>
        <w:spacing w:line="360" w:lineRule="auto"/>
        <w:ind w:left="420"/>
        <w:rPr>
          <w:rFonts w:ascii="宋体" w:hAnsi="宋体"/>
          <w:b/>
          <w:bCs/>
          <w:sz w:val="24"/>
        </w:rPr>
      </w:pPr>
      <w:r>
        <w:rPr>
          <w:rFonts w:hint="eastAsia" w:ascii="宋体" w:hAnsi="宋体"/>
          <w:b/>
          <w:bCs/>
          <w:sz w:val="24"/>
        </w:rPr>
        <w:t>复试内容</w:t>
      </w:r>
    </w:p>
    <w:p>
      <w:pPr>
        <w:spacing w:line="360" w:lineRule="auto"/>
        <w:ind w:firstLine="480" w:firstLineChars="200"/>
        <w:rPr>
          <w:rFonts w:ascii="宋体" w:hAnsi="宋体"/>
          <w:sz w:val="24"/>
        </w:rPr>
      </w:pPr>
      <w:r>
        <w:rPr>
          <w:rFonts w:hint="eastAsia" w:ascii="宋体" w:hAnsi="宋体"/>
          <w:sz w:val="24"/>
        </w:rPr>
        <w:t>学科教学（语文）01方向，因招生计划含硕士建设单位联培专项计划7个等原因，考生复试前需提交个人签署好的《录取意向登记表》（附件4）。</w:t>
      </w:r>
    </w:p>
    <w:p>
      <w:pPr>
        <w:spacing w:line="360" w:lineRule="auto"/>
        <w:ind w:firstLine="480" w:firstLineChars="200"/>
        <w:rPr>
          <w:rFonts w:ascii="宋体" w:hAnsi="宋体"/>
          <w:sz w:val="24"/>
        </w:rPr>
      </w:pPr>
      <w:r>
        <w:rPr>
          <w:rFonts w:hint="eastAsia" w:ascii="宋体" w:hAnsi="宋体"/>
          <w:sz w:val="24"/>
        </w:rPr>
        <w:t>学科教学（语文）02方向（公费定向培养粤东西北教师专项计划）考生复试前需按要求提交个人签订好的《公费定向培养项目协议书》和《公费定向项目就业地区意向登记表》（附件3），其余选拔和复试方法与普通计划相同。拟录取定向生结合考生填报的定向地区意向，按复试后总成绩从高到低顺序确定定向地区。</w:t>
      </w:r>
    </w:p>
    <w:p>
      <w:pPr>
        <w:spacing w:line="360" w:lineRule="auto"/>
        <w:ind w:firstLine="482" w:firstLineChars="200"/>
        <w:rPr>
          <w:rFonts w:ascii="宋体"/>
          <w:b/>
          <w:bCs/>
          <w:sz w:val="24"/>
          <w:szCs w:val="24"/>
        </w:rPr>
      </w:pPr>
      <w:r>
        <w:rPr>
          <w:rFonts w:hint="eastAsia" w:ascii="宋体" w:hAnsi="宋体"/>
          <w:b/>
          <w:bCs/>
          <w:sz w:val="24"/>
          <w:szCs w:val="24"/>
        </w:rPr>
        <w:t>（一）资格审查</w:t>
      </w:r>
    </w:p>
    <w:p>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pPr>
        <w:spacing w:line="360" w:lineRule="auto"/>
        <w:ind w:firstLine="480" w:firstLineChars="200"/>
        <w:rPr>
          <w:rFonts w:ascii="宋体" w:hAnsi="宋体"/>
          <w:sz w:val="24"/>
          <w:szCs w:val="24"/>
        </w:rPr>
      </w:pPr>
      <w:r>
        <w:rPr>
          <w:rFonts w:hint="eastAsia" w:ascii="宋体" w:hAnsi="宋体"/>
          <w:sz w:val="24"/>
          <w:szCs w:val="24"/>
        </w:rPr>
        <w:t>1．材料提交与核验</w:t>
      </w:r>
    </w:p>
    <w:p>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（8）《诚信复试承诺书》</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上述所有材料必须真实有效，复试考生复试时须携带原件核验。</w:t>
      </w:r>
    </w:p>
    <w:p>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pPr>
        <w:spacing w:line="360" w:lineRule="auto"/>
        <w:ind w:firstLine="480"/>
        <w:rPr>
          <w:rFonts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初试攻读硕士研究生。</w:t>
      </w:r>
    </w:p>
    <w:p>
      <w:pPr>
        <w:spacing w:line="360" w:lineRule="auto"/>
        <w:ind w:firstLine="480"/>
        <w:rPr>
          <w:rFonts w:ascii="宋体" w:hAnsi="宋体"/>
          <w:sz w:val="24"/>
          <w:szCs w:val="24"/>
        </w:rPr>
      </w:pPr>
      <w:r>
        <w:rPr>
          <w:rFonts w:hint="eastAsia" w:ascii="宋体" w:hAnsi="宋体"/>
          <w:sz w:val="24"/>
          <w:szCs w:val="24"/>
        </w:rPr>
        <w:t>参加“选聘高校毕业生到村任职”项目服务期满、考核称职以上的考生，3年内参加全国硕士研究生招生考试，初试总分加10分，同等条件下优先录取，其中报考人文社科类专业研究生的，初试总分加15分。</w:t>
      </w:r>
    </w:p>
    <w:p>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ascii="宋体" w:hAnsi="宋体"/>
          <w:sz w:val="24"/>
          <w:szCs w:val="24"/>
          <w:u w:val="single"/>
        </w:rPr>
        <w:t>4</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pPr>
        <w:spacing w:line="360" w:lineRule="auto"/>
        <w:ind w:firstLine="482" w:firstLineChars="200"/>
        <w:rPr>
          <w:rFonts w:ascii="宋体" w:hAnsi="宋体"/>
          <w:b/>
          <w:bCs/>
          <w:sz w:val="24"/>
        </w:rPr>
      </w:pPr>
      <w:r>
        <w:rPr>
          <w:rFonts w:hint="eastAsia" w:ascii="宋体" w:hAnsi="宋体"/>
          <w:b/>
          <w:bCs/>
          <w:sz w:val="24"/>
        </w:rPr>
        <w:t>3.“退役大学生士兵”计划</w:t>
      </w:r>
    </w:p>
    <w:p>
      <w:pPr>
        <w:spacing w:line="360" w:lineRule="auto"/>
        <w:ind w:firstLine="480" w:firstLineChars="200"/>
        <w:rPr>
          <w:rFonts w:ascii="宋体" w:hAnsi="宋体"/>
          <w:sz w:val="24"/>
        </w:rPr>
      </w:pPr>
      <w:r>
        <w:rPr>
          <w:rFonts w:hint="eastAsia" w:ascii="宋体" w:hAnsi="宋体"/>
          <w:sz w:val="24"/>
        </w:rPr>
        <w:t>报考“退役大学生士兵”计划的考生，复试前需向我院提交本人的《入伍批准书》和《退出现役证》材料，入学后需提交本人的《入伍批准书》、《退出现役证》原件和复印件，我院审核并留存复印件。</w:t>
      </w:r>
    </w:p>
    <w:p>
      <w:pPr>
        <w:spacing w:line="360" w:lineRule="auto"/>
        <w:ind w:firstLine="482" w:firstLineChars="200"/>
        <w:rPr>
          <w:rFonts w:ascii="宋体" w:hAnsi="宋体"/>
          <w:sz w:val="24"/>
        </w:rPr>
      </w:pPr>
      <w:r>
        <w:rPr>
          <w:rFonts w:hint="eastAsia" w:ascii="宋体" w:hAnsi="宋体"/>
          <w:b/>
          <w:bCs/>
          <w:sz w:val="24"/>
        </w:rPr>
        <w:t>（二）复试</w:t>
      </w:r>
    </w:p>
    <w:p>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pPr>
        <w:spacing w:line="360" w:lineRule="auto"/>
        <w:ind w:firstLine="480" w:firstLineChars="200"/>
        <w:rPr>
          <w:rFonts w:ascii="宋体" w:hAnsi="宋体"/>
          <w:sz w:val="24"/>
        </w:rPr>
      </w:pPr>
      <w:r>
        <w:rPr>
          <w:rFonts w:hint="eastAsia" w:ascii="宋体" w:hAnsi="宋体"/>
          <w:sz w:val="24"/>
        </w:rPr>
        <w:t>采取笔试方式完成。</w:t>
      </w:r>
    </w:p>
    <w:p>
      <w:pPr>
        <w:spacing w:line="360" w:lineRule="auto"/>
        <w:ind w:firstLine="482" w:firstLineChars="200"/>
        <w:rPr>
          <w:rFonts w:cs="宋体"/>
          <w:b/>
          <w:color w:val="FF0000"/>
          <w:sz w:val="24"/>
        </w:rPr>
      </w:pPr>
      <w:r>
        <w:rPr>
          <w:rFonts w:hint="eastAsia" w:ascii="宋体" w:hAnsi="宋体"/>
          <w:b/>
          <w:bCs/>
          <w:sz w:val="24"/>
        </w:rPr>
        <w:t>2.综合素质考核</w:t>
      </w:r>
    </w:p>
    <w:p>
      <w:pPr>
        <w:spacing w:line="360" w:lineRule="auto"/>
        <w:ind w:firstLine="480" w:firstLineChars="200"/>
        <w:rPr>
          <w:rFonts w:ascii="宋体" w:hAnsi="宋体"/>
          <w:sz w:val="24"/>
        </w:rPr>
      </w:pPr>
      <w:r>
        <w:rPr>
          <w:rFonts w:hint="eastAsia" w:ascii="宋体" w:hAnsi="宋体"/>
          <w:sz w:val="24"/>
        </w:rPr>
        <w:t>综合素质考核包含外语考核、专业素质考核、品德与实践能力考核三部分，综合素质考核成绩=外语考核</w:t>
      </w:r>
      <w:r>
        <w:rPr>
          <w:rFonts w:hint="eastAsia" w:ascii="宋体" w:hAnsi="宋体"/>
          <w:sz w:val="24"/>
        </w:rPr>
        <w:sym w:font="Wingdings 2" w:char="F0CD"/>
      </w:r>
      <w:r>
        <w:rPr>
          <w:rFonts w:hint="eastAsia" w:ascii="宋体" w:hAnsi="宋体"/>
          <w:sz w:val="24"/>
        </w:rPr>
        <w:t>20%+专业素质考核</w:t>
      </w:r>
      <w:r>
        <w:rPr>
          <w:rFonts w:hint="eastAsia" w:ascii="宋体" w:hAnsi="宋体"/>
          <w:sz w:val="24"/>
        </w:rPr>
        <w:sym w:font="Wingdings 2" w:char="F0CD"/>
      </w:r>
      <w:r>
        <w:rPr>
          <w:rFonts w:hint="eastAsia" w:ascii="宋体" w:hAnsi="宋体"/>
          <w:sz w:val="24"/>
        </w:rPr>
        <w:t>50%+品德与实践能力考核</w:t>
      </w:r>
      <w:r>
        <w:rPr>
          <w:rFonts w:hint="eastAsia" w:ascii="宋体" w:hAnsi="宋体"/>
          <w:sz w:val="24"/>
        </w:rPr>
        <w:sym w:font="Wingdings 2" w:char="F0CD"/>
      </w:r>
      <w:r>
        <w:rPr>
          <w:rFonts w:hint="eastAsia" w:ascii="宋体" w:hAnsi="宋体"/>
          <w:sz w:val="24"/>
        </w:rPr>
        <w:t>30%，。</w:t>
      </w:r>
    </w:p>
    <w:p>
      <w:pPr>
        <w:spacing w:line="360" w:lineRule="auto"/>
        <w:ind w:firstLine="480" w:firstLineChars="200"/>
        <w:rPr>
          <w:rFonts w:ascii="宋体"/>
          <w:sz w:val="24"/>
        </w:rPr>
      </w:pPr>
      <w:r>
        <w:rPr>
          <w:rFonts w:hint="eastAsia" w:ascii="宋体" w:hAnsi="宋体"/>
          <w:sz w:val="24"/>
        </w:rPr>
        <w:t>（1）外语考核（满分100分）</w:t>
      </w:r>
    </w:p>
    <w:p>
      <w:pPr>
        <w:spacing w:line="360" w:lineRule="auto"/>
        <w:ind w:firstLine="480" w:firstLineChars="200"/>
        <w:rPr>
          <w:rFonts w:ascii="宋体"/>
          <w:sz w:val="24"/>
        </w:rPr>
      </w:pPr>
      <w:r>
        <w:rPr>
          <w:rFonts w:hint="eastAsia" w:ascii="宋体" w:hAnsi="宋体"/>
          <w:sz w:val="24"/>
        </w:rPr>
        <w:t>重点考察考生的外语听说读写能力。</w:t>
      </w:r>
    </w:p>
    <w:p>
      <w:pPr>
        <w:spacing w:line="360" w:lineRule="auto"/>
        <w:ind w:firstLine="480" w:firstLineChars="200"/>
        <w:rPr>
          <w:rFonts w:ascii="宋体"/>
          <w:sz w:val="24"/>
        </w:rPr>
      </w:pPr>
      <w:r>
        <w:rPr>
          <w:rFonts w:hint="eastAsia" w:ascii="宋体" w:hAnsi="宋体"/>
          <w:sz w:val="24"/>
        </w:rPr>
        <w:t>（2）专业素质考核（满分100分）</w:t>
      </w:r>
    </w:p>
    <w:p>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pPr>
        <w:spacing w:line="360" w:lineRule="auto"/>
        <w:ind w:firstLine="480" w:firstLineChars="200"/>
        <w:rPr>
          <w:rFonts w:ascii="宋体"/>
          <w:sz w:val="24"/>
        </w:rPr>
      </w:pPr>
      <w:r>
        <w:rPr>
          <w:rFonts w:hint="eastAsia" w:ascii="宋体" w:hAnsi="宋体"/>
          <w:sz w:val="24"/>
        </w:rPr>
        <w:t>（3）品德与实践能力考核（满分100分）</w:t>
      </w:r>
    </w:p>
    <w:p>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spacing w:line="360" w:lineRule="auto"/>
        <w:ind w:firstLine="482" w:firstLineChars="200"/>
        <w:rPr>
          <w:rFonts w:ascii="宋体"/>
          <w:b/>
          <w:bCs/>
          <w:sz w:val="24"/>
        </w:rPr>
      </w:pPr>
      <w:r>
        <w:rPr>
          <w:rFonts w:hint="eastAsia" w:ascii="宋体" w:hAnsi="宋体"/>
          <w:b/>
          <w:bCs/>
          <w:sz w:val="24"/>
        </w:rPr>
        <w:t>（三）同等学力加试考核</w:t>
      </w:r>
    </w:p>
    <w:p>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pPr>
        <w:spacing w:line="360" w:lineRule="auto"/>
        <w:ind w:firstLine="482" w:firstLineChars="200"/>
        <w:rPr>
          <w:rFonts w:ascii="宋体"/>
          <w:b/>
          <w:bCs/>
          <w:sz w:val="24"/>
        </w:rPr>
      </w:pPr>
      <w:r>
        <w:rPr>
          <w:rFonts w:hint="eastAsia" w:ascii="宋体" w:hAnsi="宋体"/>
          <w:b/>
          <w:bCs/>
          <w:sz w:val="24"/>
        </w:rPr>
        <w:t>（四）体格检查</w:t>
      </w:r>
    </w:p>
    <w:p>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pPr>
        <w:spacing w:line="360" w:lineRule="auto"/>
        <w:ind w:firstLine="482" w:firstLineChars="200"/>
        <w:rPr>
          <w:rFonts w:ascii="宋体"/>
          <w:b/>
          <w:bCs/>
          <w:sz w:val="24"/>
        </w:rPr>
      </w:pPr>
      <w:r>
        <w:rPr>
          <w:rFonts w:hint="eastAsia" w:ascii="宋体" w:hAnsi="宋体"/>
          <w:b/>
          <w:bCs/>
          <w:sz w:val="24"/>
        </w:rPr>
        <w:t>四、录取</w:t>
      </w:r>
    </w:p>
    <w:p>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pPr>
        <w:adjustRightInd w:val="0"/>
        <w:snapToGrid w:val="0"/>
        <w:spacing w:line="360" w:lineRule="auto"/>
        <w:ind w:firstLine="480" w:firstLineChars="200"/>
        <w:rPr>
          <w:rFonts w:ascii="宋体"/>
          <w:sz w:val="24"/>
        </w:rPr>
      </w:pPr>
      <w:r>
        <w:rPr>
          <w:rFonts w:hint="eastAsia" w:ascii="宋体"/>
          <w:sz w:val="24"/>
        </w:rPr>
        <w:t xml:space="preserve">2. </w:t>
      </w:r>
      <w:r>
        <w:rPr>
          <w:rFonts w:hint="eastAsia" w:ascii="宋体"/>
          <w:sz w:val="24"/>
          <w:u w:val="single"/>
        </w:rPr>
        <w:t>非全日制专业方向只能录取为定向就业。</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8"/>
          <w:rFonts w:hint="eastAsia" w:ascii="宋体" w:hAnsi="宋体"/>
          <w:sz w:val="24"/>
          <w:u w:val="single"/>
        </w:rPr>
        <w:t>http://yz.scnu.edu.cn/ziliaoxiazai/</w:t>
      </w:r>
      <w:r>
        <w:rPr>
          <w:rStyle w:val="8"/>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pPr>
        <w:adjustRightInd w:val="0"/>
        <w:snapToGrid w:val="0"/>
        <w:spacing w:line="360" w:lineRule="auto"/>
        <w:ind w:firstLine="480" w:firstLineChars="200"/>
        <w:rPr>
          <w:rFonts w:ascii="宋体" w:hAnsi="宋体"/>
          <w:kern w:val="0"/>
          <w:sz w:val="24"/>
        </w:rPr>
      </w:pPr>
      <w:r>
        <w:rPr>
          <w:rFonts w:hint="eastAsia" w:ascii="宋体" w:hAnsi="宋体"/>
          <w:sz w:val="24"/>
        </w:rPr>
        <w:t>3.</w:t>
      </w:r>
      <w:r>
        <w:rPr>
          <w:rFonts w:hint="eastAsia" w:ascii="宋体" w:hAnsi="宋体"/>
          <w:kern w:val="0"/>
          <w:sz w:val="24"/>
        </w:rPr>
        <w:t>复试成绩=（复试科目考核成绩+综合素质考核成绩）/2，复试成绩低于60分，视为复试不合格，不予录取。</w:t>
      </w:r>
    </w:p>
    <w:p>
      <w:pPr>
        <w:adjustRightInd w:val="0"/>
        <w:snapToGrid w:val="0"/>
        <w:spacing w:line="360" w:lineRule="auto"/>
        <w:ind w:firstLine="480" w:firstLineChars="200"/>
        <w:rPr>
          <w:kern w:val="0"/>
          <w:sz w:val="24"/>
        </w:rPr>
      </w:pPr>
      <w:r>
        <w:rPr>
          <w:rFonts w:hint="eastAsia" w:ascii="宋体" w:hAnsi="宋体"/>
          <w:kern w:val="0"/>
          <w:sz w:val="24"/>
        </w:rPr>
        <w:t>4.复试合格的考生，按照总成绩=初试总成绩/5×50%+复试成绩×50%，工商管理、</w:t>
      </w:r>
      <w:r>
        <w:rPr>
          <w:rFonts w:hint="eastAsia"/>
          <w:kern w:val="0"/>
          <w:sz w:val="24"/>
        </w:rPr>
        <w:t>公共管理</w:t>
      </w:r>
      <w:r>
        <w:rPr>
          <w:rFonts w:hint="eastAsia" w:ascii="宋体" w:hAnsi="宋体"/>
          <w:kern w:val="0"/>
          <w:sz w:val="24"/>
        </w:rPr>
        <w:t>、旅游管理、工程管理、会计专业学位的总成绩＝初试总成绩</w:t>
      </w:r>
      <w:r>
        <w:rPr>
          <w:kern w:val="0"/>
          <w:sz w:val="24"/>
        </w:rPr>
        <w:t>/3</w:t>
      </w:r>
      <w:r>
        <w:rPr>
          <w:rFonts w:hint="eastAsia"/>
          <w:kern w:val="0"/>
          <w:sz w:val="24"/>
        </w:rPr>
        <w:t>×</w:t>
      </w:r>
      <w:r>
        <w:rPr>
          <w:kern w:val="0"/>
          <w:sz w:val="24"/>
        </w:rPr>
        <w:t>50%</w:t>
      </w:r>
      <w:r>
        <w:rPr>
          <w:rFonts w:hint="eastAsia" w:ascii="宋体" w:hAnsi="宋体"/>
          <w:kern w:val="0"/>
          <w:sz w:val="24"/>
        </w:rPr>
        <w:t>＋复试成绩×50%来计算。第一志愿考生与调剂生分开排序，依考生总成绩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pPr>
        <w:spacing w:line="360" w:lineRule="auto"/>
        <w:ind w:firstLine="480" w:firstLineChars="200"/>
        <w:rPr>
          <w:rFonts w:ascii="宋体"/>
          <w:sz w:val="24"/>
        </w:rPr>
      </w:pPr>
      <w:r>
        <w:rPr>
          <w:rFonts w:hint="eastAsia" w:ascii="宋体" w:hAnsi="宋体"/>
          <w:sz w:val="24"/>
        </w:rPr>
        <w:t>5.拟录取名单公示十个工作日。</w:t>
      </w:r>
    </w:p>
    <w:p>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8"/>
          <w:rFonts w:hint="eastAsia" w:ascii="宋体" w:hAnsi="宋体"/>
          <w:sz w:val="24"/>
          <w:u w:val="single"/>
        </w:rPr>
        <w:t>http://yz.scnu.edu.cn/</w:t>
      </w:r>
      <w:r>
        <w:rPr>
          <w:rStyle w:val="8"/>
          <w:rFonts w:hint="eastAsia" w:ascii="宋体" w:hAnsi="宋体"/>
          <w:sz w:val="24"/>
          <w:u w:val="single"/>
        </w:rPr>
        <w:fldChar w:fldCharType="end"/>
      </w:r>
      <w:r>
        <w:rPr>
          <w:rFonts w:hint="eastAsia" w:ascii="宋体" w:hAnsi="宋体"/>
          <w:sz w:val="24"/>
        </w:rPr>
        <w:t>）</w:t>
      </w:r>
    </w:p>
    <w:p>
      <w:pPr>
        <w:spacing w:line="360" w:lineRule="auto"/>
        <w:ind w:firstLine="482" w:firstLineChars="200"/>
        <w:rPr>
          <w:rFonts w:ascii="宋体" w:hAnsi="宋体"/>
          <w:b/>
          <w:bCs/>
          <w:sz w:val="24"/>
        </w:rPr>
      </w:pPr>
      <w:r>
        <w:rPr>
          <w:rFonts w:hint="eastAsia" w:ascii="宋体" w:hAnsi="宋体"/>
          <w:b/>
          <w:bCs/>
          <w:sz w:val="24"/>
        </w:rPr>
        <w:t>五、其他</w:t>
      </w:r>
    </w:p>
    <w:p>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pPr>
        <w:spacing w:line="360" w:lineRule="auto"/>
        <w:ind w:firstLine="480" w:firstLineChars="200"/>
        <w:rPr>
          <w:rFonts w:ascii="宋体"/>
          <w:sz w:val="24"/>
        </w:rPr>
      </w:pPr>
      <w:r>
        <w:rPr>
          <w:rFonts w:hint="eastAsia" w:ascii="宋体"/>
          <w:sz w:val="24"/>
        </w:rPr>
        <w:t>未尽事宜以教育部《202</w:t>
      </w:r>
      <w:r>
        <w:rPr>
          <w:rFonts w:ascii="宋体"/>
          <w:sz w:val="24"/>
        </w:rPr>
        <w:t>4</w:t>
      </w:r>
      <w:r>
        <w:rPr>
          <w:rFonts w:hint="eastAsia" w:ascii="宋体"/>
          <w:sz w:val="24"/>
        </w:rPr>
        <w:t>年全国硕士研究生招生工作管理规定》等文件和学校相关规定为准。</w:t>
      </w:r>
    </w:p>
    <w:p>
      <w:pPr>
        <w:spacing w:line="360" w:lineRule="auto"/>
        <w:ind w:firstLine="482" w:firstLineChars="200"/>
        <w:rPr>
          <w:rFonts w:ascii="宋体" w:hAnsi="宋体"/>
          <w:b/>
          <w:bCs/>
          <w:sz w:val="24"/>
        </w:rPr>
      </w:pPr>
      <w:r>
        <w:rPr>
          <w:rFonts w:hint="eastAsia" w:ascii="宋体" w:hAnsi="宋体"/>
          <w:b/>
          <w:bCs/>
          <w:sz w:val="24"/>
        </w:rPr>
        <w:t>六、联系方式</w:t>
      </w:r>
    </w:p>
    <w:p>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文学院：020-39310283</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fldChar w:fldCharType="begin"/>
      </w:r>
      <w:r>
        <w:instrText xml:space="preserve"> HYPERLINK "http://wxy.scnu.edu.cn/" </w:instrText>
      </w:r>
      <w:r>
        <w:fldChar w:fldCharType="separate"/>
      </w:r>
      <w:r>
        <w:rPr>
          <w:rStyle w:val="7"/>
          <w:rFonts w:hint="eastAsia" w:ascii="宋体" w:hAnsi="宋体" w:cs="宋体"/>
          <w:kern w:val="0"/>
          <w:sz w:val="24"/>
        </w:rPr>
        <w:t>http://wxy.scnu.edu.cn/</w:t>
      </w:r>
      <w:r>
        <w:rPr>
          <w:rStyle w:val="7"/>
          <w:rFonts w:hint="eastAsia" w:ascii="宋体" w:hAnsi="宋体" w:cs="宋体"/>
          <w:kern w:val="0"/>
          <w:sz w:val="24"/>
        </w:rPr>
        <w:fldChar w:fldCharType="end"/>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fldChar w:fldCharType="begin"/>
      </w:r>
      <w:r>
        <w:instrText xml:space="preserve"> HYPERLINK "http://yz.scnu.edu.cn/" </w:instrText>
      </w:r>
      <w:r>
        <w:fldChar w:fldCharType="separate"/>
      </w:r>
      <w:r>
        <w:rPr>
          <w:rStyle w:val="8"/>
          <w:rFonts w:hint="eastAsia" w:ascii="宋体" w:hAnsi="宋体"/>
          <w:u w:val="single"/>
        </w:rPr>
        <w:t>http://yz.scnu.edu.cn/</w:t>
      </w:r>
      <w:r>
        <w:rPr>
          <w:rStyle w:val="8"/>
          <w:rFonts w:hint="eastAsia" w:ascii="宋体" w:hAnsi="宋体"/>
          <w:u w:val="single"/>
        </w:rPr>
        <w:fldChar w:fldCharType="end"/>
      </w:r>
    </w:p>
    <w:p>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7"/>
          <w:rFonts w:hint="eastAsia"/>
        </w:rPr>
        <w:t>zsb03@scnu.edu.cn</w:t>
      </w:r>
      <w:r>
        <w:rPr>
          <w:rStyle w:val="7"/>
          <w:rFonts w:hint="eastAsia"/>
        </w:rPr>
        <w:fldChar w:fldCharType="end"/>
      </w: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p>
    <w:p>
      <w:pPr>
        <w:spacing w:line="360" w:lineRule="auto"/>
        <w:ind w:firstLine="5520" w:firstLineChars="2300"/>
        <w:rPr>
          <w:rFonts w:ascii="宋体" w:hAnsi="宋体" w:cs="宋体"/>
          <w:kern w:val="0"/>
          <w:sz w:val="24"/>
        </w:rPr>
      </w:pPr>
      <w:r>
        <w:rPr>
          <w:rFonts w:hint="eastAsia" w:ascii="宋体" w:hAnsi="宋体" w:cs="宋体"/>
          <w:kern w:val="0"/>
          <w:sz w:val="24"/>
        </w:rPr>
        <w:t>文学院</w:t>
      </w:r>
    </w:p>
    <w:p>
      <w:pPr>
        <w:spacing w:line="360" w:lineRule="auto"/>
        <w:rPr>
          <w:rFonts w:ascii="宋体" w:hAnsi="宋体" w:cs="宋体"/>
          <w:kern w:val="0"/>
          <w:sz w:val="24"/>
        </w:rPr>
      </w:pPr>
      <w:r>
        <w:rPr>
          <w:rFonts w:hint="eastAsia" w:ascii="宋体" w:hAnsi="宋体" w:cs="宋体"/>
          <w:kern w:val="0"/>
          <w:sz w:val="24"/>
        </w:rPr>
        <w:t xml:space="preserve">                                         2024年3月21日</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rPr>
      </w:pPr>
      <w:r>
        <w:rPr>
          <w:rFonts w:hint="eastAsia" w:ascii="宋体" w:hAnsi="宋体" w:cs="宋体"/>
          <w:kern w:val="0"/>
        </w:rPr>
        <w:t>附件1：文学院2024年硕士研究生复试名单</w:t>
      </w:r>
    </w:p>
    <w:p>
      <w:pPr>
        <w:spacing w:line="360" w:lineRule="auto"/>
        <w:rPr>
          <w:rFonts w:ascii="宋体" w:hAnsi="宋体" w:cs="宋体"/>
          <w:color w:val="FF0000"/>
          <w:kern w:val="0"/>
        </w:rPr>
      </w:pPr>
      <w:r>
        <w:rPr>
          <w:rFonts w:hint="eastAsia" w:ascii="宋体" w:hAnsi="宋体" w:cs="宋体"/>
          <w:kern w:val="0"/>
        </w:rPr>
        <w:t>附件2：文学院2024年硕士研究生复试时间安排</w:t>
      </w:r>
      <w:r>
        <w:rPr>
          <w:rFonts w:hint="eastAsia" w:ascii="宋体" w:hAnsi="宋体" w:cs="宋体"/>
          <w:color w:val="FF0000"/>
          <w:kern w:val="0"/>
        </w:rPr>
        <w:t>（另文在学院官网发布，根据各专业组提交持续更新）</w:t>
      </w:r>
    </w:p>
    <w:p>
      <w:pPr>
        <w:spacing w:line="360" w:lineRule="auto"/>
        <w:rPr>
          <w:rFonts w:ascii="宋体" w:hAnsi="宋体"/>
        </w:rPr>
      </w:pPr>
      <w:r>
        <w:rPr>
          <w:rFonts w:hint="eastAsia" w:ascii="宋体" w:hAnsi="宋体" w:cs="宋体"/>
          <w:kern w:val="0"/>
        </w:rPr>
        <w:t>附件3：公费定向项目就业地区意向登记表</w:t>
      </w:r>
    </w:p>
    <w:p>
      <w:pPr>
        <w:spacing w:line="360" w:lineRule="auto"/>
        <w:rPr>
          <w:rFonts w:ascii="宋体" w:hAnsi="宋体"/>
        </w:rPr>
      </w:pPr>
      <w:r>
        <w:rPr>
          <w:rFonts w:hint="eastAsia" w:ascii="宋体" w:hAnsi="宋体"/>
        </w:rPr>
        <w:t>附件4：学科教学（语文）01方向录取意向登记表</w:t>
      </w:r>
    </w:p>
    <w:p>
      <w:pPr>
        <w:spacing w:line="360" w:lineRule="auto"/>
        <w:rPr>
          <w:rFonts w:ascii="宋体" w:hAnsi="宋体"/>
        </w:rPr>
      </w:pPr>
    </w:p>
    <w:p>
      <w:pPr>
        <w:spacing w:line="360" w:lineRule="auto"/>
        <w:rPr>
          <w:rFonts w:ascii="宋体" w:hAnsi="宋体"/>
        </w:rPr>
      </w:pPr>
    </w:p>
    <w:p>
      <w:pPr>
        <w:spacing w:line="360" w:lineRule="auto"/>
        <w:rPr>
          <w:sz w:val="24"/>
        </w:rPr>
      </w:pPr>
      <w:r>
        <w:rPr>
          <w:rFonts w:hint="eastAsia"/>
          <w:sz w:val="24"/>
        </w:rPr>
        <w:t>附件1：</w:t>
      </w:r>
    </w:p>
    <w:p>
      <w:pPr>
        <w:spacing w:line="360" w:lineRule="auto"/>
        <w:jc w:val="center"/>
        <w:rPr>
          <w:b/>
          <w:sz w:val="32"/>
          <w:szCs w:val="32"/>
        </w:rPr>
      </w:pPr>
      <w:r>
        <w:rPr>
          <w:rFonts w:hint="eastAsia"/>
          <w:b/>
          <w:sz w:val="32"/>
          <w:szCs w:val="32"/>
        </w:rPr>
        <w:t>2024年文学院硕士研究生复试名单</w:t>
      </w:r>
    </w:p>
    <w:p>
      <w:pPr>
        <w:spacing w:line="360" w:lineRule="auto"/>
        <w:rPr>
          <w:b/>
          <w:sz w:val="24"/>
        </w:rPr>
      </w:pPr>
      <w:r>
        <w:rPr>
          <w:rFonts w:hint="eastAsia"/>
          <w:b/>
          <w:sz w:val="24"/>
        </w:rPr>
        <w:t>一、各专业招生人数及推免生人数</w:t>
      </w:r>
    </w:p>
    <w:tbl>
      <w:tblPr>
        <w:tblStyle w:val="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4"/>
        <w:gridCol w:w="1134"/>
        <w:gridCol w:w="2552"/>
        <w:gridCol w:w="1559"/>
        <w:gridCol w:w="127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rPr>
                <w:rFonts w:ascii="黑体" w:hAnsi="黑体" w:eastAsia="黑体"/>
              </w:rPr>
            </w:pPr>
            <w:r>
              <w:rPr>
                <w:rFonts w:hint="eastAsia" w:ascii="黑体" w:hAnsi="黑体" w:eastAsia="黑体"/>
              </w:rPr>
              <w:t>序号</w:t>
            </w:r>
          </w:p>
        </w:tc>
        <w:tc>
          <w:tcPr>
            <w:tcW w:w="1134" w:type="dxa"/>
            <w:vAlign w:val="center"/>
          </w:tcPr>
          <w:p>
            <w:pPr>
              <w:jc w:val="center"/>
              <w:rPr>
                <w:rFonts w:ascii="黑体" w:hAnsi="黑体" w:eastAsia="黑体"/>
              </w:rPr>
            </w:pPr>
            <w:r>
              <w:rPr>
                <w:rFonts w:hint="eastAsia" w:ascii="黑体" w:hAnsi="黑体" w:eastAsia="黑体"/>
              </w:rPr>
              <w:t>学习方式</w:t>
            </w:r>
          </w:p>
        </w:tc>
        <w:tc>
          <w:tcPr>
            <w:tcW w:w="1134" w:type="dxa"/>
            <w:vAlign w:val="center"/>
          </w:tcPr>
          <w:p>
            <w:pPr>
              <w:jc w:val="center"/>
              <w:rPr>
                <w:rFonts w:ascii="黑体" w:hAnsi="黑体" w:eastAsia="黑体"/>
              </w:rPr>
            </w:pPr>
            <w:r>
              <w:rPr>
                <w:rFonts w:hint="eastAsia" w:ascii="黑体" w:hAnsi="黑体" w:eastAsia="黑体"/>
              </w:rPr>
              <w:t>专业代码</w:t>
            </w:r>
          </w:p>
        </w:tc>
        <w:tc>
          <w:tcPr>
            <w:tcW w:w="2552" w:type="dxa"/>
            <w:vAlign w:val="center"/>
          </w:tcPr>
          <w:p>
            <w:pPr>
              <w:jc w:val="center"/>
              <w:rPr>
                <w:rFonts w:ascii="黑体" w:hAnsi="黑体" w:eastAsia="黑体"/>
              </w:rPr>
            </w:pPr>
            <w:r>
              <w:rPr>
                <w:rFonts w:hint="eastAsia" w:ascii="黑体" w:hAnsi="黑体" w:eastAsia="黑体"/>
              </w:rPr>
              <w:t>专业名称</w:t>
            </w:r>
          </w:p>
        </w:tc>
        <w:tc>
          <w:tcPr>
            <w:tcW w:w="1559" w:type="dxa"/>
            <w:vAlign w:val="center"/>
          </w:tcPr>
          <w:p>
            <w:pPr>
              <w:jc w:val="center"/>
              <w:rPr>
                <w:rFonts w:ascii="黑体" w:hAnsi="黑体" w:eastAsia="黑体"/>
              </w:rPr>
            </w:pPr>
            <w:r>
              <w:rPr>
                <w:rFonts w:hint="eastAsia" w:ascii="黑体" w:hAnsi="黑体" w:eastAsia="黑体"/>
              </w:rPr>
              <w:t>拟招生人数</w:t>
            </w:r>
          </w:p>
        </w:tc>
        <w:tc>
          <w:tcPr>
            <w:tcW w:w="1276" w:type="dxa"/>
            <w:vAlign w:val="center"/>
          </w:tcPr>
          <w:p>
            <w:pPr>
              <w:jc w:val="center"/>
              <w:rPr>
                <w:rFonts w:ascii="黑体" w:hAnsi="黑体" w:eastAsia="黑体"/>
              </w:rPr>
            </w:pPr>
            <w:r>
              <w:rPr>
                <w:rFonts w:hint="eastAsia" w:ascii="黑体" w:hAnsi="黑体" w:eastAsia="黑体"/>
              </w:rPr>
              <w:t>已招收</w:t>
            </w:r>
          </w:p>
          <w:p>
            <w:pPr>
              <w:jc w:val="center"/>
              <w:rPr>
                <w:rFonts w:ascii="黑体" w:hAnsi="黑体" w:eastAsia="黑体"/>
              </w:rPr>
            </w:pPr>
            <w:r>
              <w:rPr>
                <w:rFonts w:hint="eastAsia" w:ascii="黑体" w:hAnsi="黑体" w:eastAsia="黑体"/>
              </w:rPr>
              <w:t>推免生数</w:t>
            </w:r>
          </w:p>
        </w:tc>
        <w:tc>
          <w:tcPr>
            <w:tcW w:w="1323" w:type="dxa"/>
            <w:vAlign w:val="center"/>
          </w:tcPr>
          <w:p>
            <w:pPr>
              <w:jc w:val="center"/>
              <w:rPr>
                <w:rFonts w:ascii="黑体" w:hAnsi="黑体" w:eastAsia="黑体"/>
              </w:rPr>
            </w:pPr>
            <w:r>
              <w:rPr>
                <w:rFonts w:hint="eastAsia" w:ascii="黑体" w:hAnsi="黑体" w:eastAsia="黑体"/>
              </w:rPr>
              <w:t>复试差额</w:t>
            </w:r>
          </w:p>
          <w:p>
            <w:pPr>
              <w:jc w:val="center"/>
              <w:rPr>
                <w:rFonts w:ascii="黑体" w:hAnsi="黑体" w:eastAsia="黑体"/>
              </w:rPr>
            </w:pPr>
            <w:r>
              <w:rPr>
                <w:rFonts w:hint="eastAsia" w:ascii="黑体" w:hAnsi="黑体" w:eastAsia="黑体"/>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1</w:t>
            </w:r>
          </w:p>
        </w:tc>
        <w:tc>
          <w:tcPr>
            <w:tcW w:w="1134" w:type="dxa"/>
            <w:vAlign w:val="center"/>
          </w:tcPr>
          <w:p>
            <w:pPr>
              <w:jc w:val="center"/>
            </w:pPr>
            <w:r>
              <w:rPr>
                <w:rFonts w:hint="eastAsia"/>
              </w:rPr>
              <w:t>全日制</w:t>
            </w:r>
          </w:p>
        </w:tc>
        <w:tc>
          <w:tcPr>
            <w:tcW w:w="1134" w:type="dxa"/>
            <w:vAlign w:val="center"/>
          </w:tcPr>
          <w:p>
            <w:pPr>
              <w:jc w:val="center"/>
            </w:pPr>
            <w:r>
              <w:rPr>
                <w:rFonts w:hint="eastAsia"/>
              </w:rPr>
              <w:t>040102</w:t>
            </w:r>
          </w:p>
        </w:tc>
        <w:tc>
          <w:tcPr>
            <w:tcW w:w="2552" w:type="dxa"/>
            <w:vAlign w:val="center"/>
          </w:tcPr>
          <w:p>
            <w:pPr>
              <w:jc w:val="center"/>
            </w:pPr>
            <w:r>
              <w:rPr>
                <w:rFonts w:hint="eastAsia"/>
              </w:rPr>
              <w:t>课程与教学论</w:t>
            </w:r>
          </w:p>
        </w:tc>
        <w:tc>
          <w:tcPr>
            <w:tcW w:w="1559" w:type="dxa"/>
            <w:vAlign w:val="center"/>
          </w:tcPr>
          <w:p>
            <w:pPr>
              <w:jc w:val="center"/>
            </w:pPr>
            <w:r>
              <w:rPr>
                <w:rFonts w:hint="eastAsia"/>
              </w:rPr>
              <w:t>8</w:t>
            </w:r>
          </w:p>
        </w:tc>
        <w:tc>
          <w:tcPr>
            <w:tcW w:w="1276" w:type="dxa"/>
            <w:vAlign w:val="center"/>
          </w:tcPr>
          <w:p>
            <w:pPr>
              <w:jc w:val="center"/>
            </w:pPr>
            <w:r>
              <w:rPr>
                <w:rFonts w:hint="eastAsia"/>
              </w:rPr>
              <w:t>8</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2</w:t>
            </w:r>
          </w:p>
        </w:tc>
        <w:tc>
          <w:tcPr>
            <w:tcW w:w="1134" w:type="dxa"/>
            <w:vAlign w:val="center"/>
          </w:tcPr>
          <w:p>
            <w:pPr>
              <w:jc w:val="center"/>
            </w:pPr>
            <w:r>
              <w:rPr>
                <w:rFonts w:hint="eastAsia"/>
              </w:rPr>
              <w:t>全日制</w:t>
            </w:r>
          </w:p>
        </w:tc>
        <w:tc>
          <w:tcPr>
            <w:tcW w:w="1134" w:type="dxa"/>
            <w:vAlign w:val="center"/>
          </w:tcPr>
          <w:p>
            <w:pPr>
              <w:jc w:val="center"/>
            </w:pPr>
            <w:r>
              <w:rPr>
                <w:rFonts w:hint="eastAsia"/>
              </w:rPr>
              <w:t>045103</w:t>
            </w:r>
          </w:p>
        </w:tc>
        <w:tc>
          <w:tcPr>
            <w:tcW w:w="2552" w:type="dxa"/>
            <w:vAlign w:val="center"/>
          </w:tcPr>
          <w:p>
            <w:pPr>
              <w:jc w:val="center"/>
            </w:pPr>
            <w:r>
              <w:rPr>
                <w:rFonts w:hint="eastAsia"/>
              </w:rPr>
              <w:t>学科教学（语文）01方向</w:t>
            </w:r>
          </w:p>
        </w:tc>
        <w:tc>
          <w:tcPr>
            <w:tcW w:w="1559" w:type="dxa"/>
            <w:vAlign w:val="center"/>
          </w:tcPr>
          <w:p>
            <w:pPr>
              <w:jc w:val="center"/>
            </w:pPr>
            <w:r>
              <w:rPr>
                <w:rFonts w:hint="eastAsia"/>
              </w:rPr>
              <w:t>92（含硕士建设单位联培专项计划7人）</w:t>
            </w:r>
          </w:p>
        </w:tc>
        <w:tc>
          <w:tcPr>
            <w:tcW w:w="1276" w:type="dxa"/>
            <w:vAlign w:val="center"/>
          </w:tcPr>
          <w:p>
            <w:pPr>
              <w:jc w:val="center"/>
            </w:pPr>
            <w:r>
              <w:rPr>
                <w:rFonts w:hint="eastAsia"/>
              </w:rPr>
              <w:t>25</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3</w:t>
            </w:r>
          </w:p>
        </w:tc>
        <w:tc>
          <w:tcPr>
            <w:tcW w:w="1134" w:type="dxa"/>
            <w:vAlign w:val="center"/>
          </w:tcPr>
          <w:p>
            <w:pPr>
              <w:jc w:val="center"/>
            </w:pPr>
            <w:r>
              <w:rPr>
                <w:rFonts w:hint="eastAsia"/>
              </w:rPr>
              <w:t>全日制</w:t>
            </w:r>
          </w:p>
        </w:tc>
        <w:tc>
          <w:tcPr>
            <w:tcW w:w="1134" w:type="dxa"/>
            <w:vAlign w:val="center"/>
          </w:tcPr>
          <w:p>
            <w:pPr>
              <w:jc w:val="center"/>
            </w:pPr>
            <w:r>
              <w:rPr>
                <w:rFonts w:hint="eastAsia"/>
              </w:rPr>
              <w:t>045103</w:t>
            </w:r>
          </w:p>
        </w:tc>
        <w:tc>
          <w:tcPr>
            <w:tcW w:w="2552" w:type="dxa"/>
            <w:vAlign w:val="center"/>
          </w:tcPr>
          <w:p>
            <w:pPr>
              <w:jc w:val="center"/>
            </w:pPr>
            <w:r>
              <w:rPr>
                <w:rFonts w:hint="eastAsia"/>
              </w:rPr>
              <w:t>学科教学（语文）02方向</w:t>
            </w:r>
          </w:p>
        </w:tc>
        <w:tc>
          <w:tcPr>
            <w:tcW w:w="1559" w:type="dxa"/>
            <w:vAlign w:val="center"/>
          </w:tcPr>
          <w:p>
            <w:pPr>
              <w:jc w:val="center"/>
            </w:pPr>
            <w:r>
              <w:rPr>
                <w:rFonts w:hint="eastAsia"/>
              </w:rPr>
              <w:t>25</w:t>
            </w:r>
          </w:p>
        </w:tc>
        <w:tc>
          <w:tcPr>
            <w:tcW w:w="1276" w:type="dxa"/>
            <w:vAlign w:val="center"/>
          </w:tcPr>
          <w:p>
            <w:pPr>
              <w:jc w:val="center"/>
            </w:pPr>
            <w:r>
              <w:rPr>
                <w:rFonts w:hint="eastAsia"/>
              </w:rPr>
              <w:t>0</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4</w:t>
            </w:r>
          </w:p>
        </w:tc>
        <w:tc>
          <w:tcPr>
            <w:tcW w:w="1134" w:type="dxa"/>
            <w:vAlign w:val="center"/>
          </w:tcPr>
          <w:p>
            <w:pPr>
              <w:jc w:val="center"/>
            </w:pPr>
            <w:r>
              <w:rPr>
                <w:rFonts w:hint="eastAsia"/>
              </w:rPr>
              <w:t>非全日制</w:t>
            </w:r>
          </w:p>
        </w:tc>
        <w:tc>
          <w:tcPr>
            <w:tcW w:w="1134" w:type="dxa"/>
            <w:vAlign w:val="center"/>
          </w:tcPr>
          <w:p>
            <w:pPr>
              <w:jc w:val="center"/>
            </w:pPr>
            <w:r>
              <w:rPr>
                <w:rFonts w:hint="eastAsia"/>
              </w:rPr>
              <w:t>045103</w:t>
            </w:r>
          </w:p>
        </w:tc>
        <w:tc>
          <w:tcPr>
            <w:tcW w:w="2552" w:type="dxa"/>
            <w:vAlign w:val="center"/>
          </w:tcPr>
          <w:p>
            <w:pPr>
              <w:jc w:val="center"/>
            </w:pPr>
            <w:r>
              <w:rPr>
                <w:rFonts w:hint="eastAsia"/>
              </w:rPr>
              <w:t>学科教学（语文）03方向</w:t>
            </w:r>
          </w:p>
        </w:tc>
        <w:tc>
          <w:tcPr>
            <w:tcW w:w="1559" w:type="dxa"/>
            <w:vAlign w:val="center"/>
          </w:tcPr>
          <w:p>
            <w:pPr>
              <w:jc w:val="center"/>
            </w:pPr>
            <w:r>
              <w:rPr>
                <w:rFonts w:hint="eastAsia"/>
              </w:rPr>
              <w:t>20</w:t>
            </w:r>
          </w:p>
        </w:tc>
        <w:tc>
          <w:tcPr>
            <w:tcW w:w="1276" w:type="dxa"/>
            <w:vAlign w:val="center"/>
          </w:tcPr>
          <w:p>
            <w:pPr>
              <w:jc w:val="center"/>
            </w:pPr>
            <w:r>
              <w:rPr>
                <w:rFonts w:hint="eastAsia"/>
              </w:rPr>
              <w:t>0</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5</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050101</w:t>
            </w:r>
          </w:p>
        </w:tc>
        <w:tc>
          <w:tcPr>
            <w:tcW w:w="2552" w:type="dxa"/>
            <w:vAlign w:val="center"/>
          </w:tcPr>
          <w:p>
            <w:pPr>
              <w:jc w:val="center"/>
            </w:pPr>
            <w:r>
              <w:rPr>
                <w:rFonts w:hint="eastAsia"/>
              </w:rPr>
              <w:t>文艺学</w:t>
            </w:r>
          </w:p>
        </w:tc>
        <w:tc>
          <w:tcPr>
            <w:tcW w:w="1559" w:type="dxa"/>
            <w:vAlign w:val="center"/>
          </w:tcPr>
          <w:p>
            <w:pPr>
              <w:jc w:val="center"/>
            </w:pPr>
            <w:r>
              <w:rPr>
                <w:rFonts w:hint="eastAsia"/>
              </w:rPr>
              <w:t>16</w:t>
            </w:r>
          </w:p>
        </w:tc>
        <w:tc>
          <w:tcPr>
            <w:tcW w:w="1276" w:type="dxa"/>
            <w:vAlign w:val="center"/>
          </w:tcPr>
          <w:p>
            <w:pPr>
              <w:jc w:val="center"/>
            </w:pPr>
            <w:r>
              <w:rPr>
                <w:rFonts w:hint="eastAsia"/>
              </w:rPr>
              <w:t>4</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6</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050102</w:t>
            </w:r>
          </w:p>
        </w:tc>
        <w:tc>
          <w:tcPr>
            <w:tcW w:w="2552" w:type="dxa"/>
            <w:vAlign w:val="center"/>
          </w:tcPr>
          <w:p>
            <w:pPr>
              <w:jc w:val="center"/>
            </w:pPr>
            <w:r>
              <w:rPr>
                <w:rFonts w:hint="eastAsia"/>
              </w:rPr>
              <w:t>语言学及应用语言学</w:t>
            </w:r>
          </w:p>
        </w:tc>
        <w:tc>
          <w:tcPr>
            <w:tcW w:w="1559" w:type="dxa"/>
            <w:vAlign w:val="center"/>
          </w:tcPr>
          <w:p>
            <w:pPr>
              <w:jc w:val="center"/>
            </w:pPr>
            <w:r>
              <w:rPr>
                <w:rFonts w:hint="eastAsia"/>
              </w:rPr>
              <w:t>10</w:t>
            </w:r>
          </w:p>
        </w:tc>
        <w:tc>
          <w:tcPr>
            <w:tcW w:w="1276" w:type="dxa"/>
            <w:vAlign w:val="center"/>
          </w:tcPr>
          <w:p>
            <w:pPr>
              <w:jc w:val="center"/>
            </w:pPr>
            <w:r>
              <w:rPr>
                <w:rFonts w:hint="eastAsia"/>
              </w:rPr>
              <w:t>3</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7</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050103</w:t>
            </w:r>
          </w:p>
        </w:tc>
        <w:tc>
          <w:tcPr>
            <w:tcW w:w="2552" w:type="dxa"/>
            <w:vAlign w:val="center"/>
          </w:tcPr>
          <w:p>
            <w:pPr>
              <w:jc w:val="center"/>
            </w:pPr>
            <w:r>
              <w:rPr>
                <w:rFonts w:hint="eastAsia"/>
              </w:rPr>
              <w:t>汉语言文字学</w:t>
            </w:r>
          </w:p>
        </w:tc>
        <w:tc>
          <w:tcPr>
            <w:tcW w:w="1559" w:type="dxa"/>
            <w:vAlign w:val="center"/>
          </w:tcPr>
          <w:p>
            <w:pPr>
              <w:jc w:val="center"/>
            </w:pPr>
            <w:r>
              <w:rPr>
                <w:rFonts w:hint="eastAsia"/>
              </w:rPr>
              <w:t>12</w:t>
            </w:r>
          </w:p>
        </w:tc>
        <w:tc>
          <w:tcPr>
            <w:tcW w:w="1276" w:type="dxa"/>
            <w:vAlign w:val="center"/>
          </w:tcPr>
          <w:p>
            <w:pPr>
              <w:jc w:val="center"/>
            </w:pPr>
            <w:r>
              <w:rPr>
                <w:rFonts w:hint="eastAsia"/>
              </w:rPr>
              <w:t>4</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8</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050104</w:t>
            </w:r>
          </w:p>
        </w:tc>
        <w:tc>
          <w:tcPr>
            <w:tcW w:w="2552" w:type="dxa"/>
            <w:vAlign w:val="center"/>
          </w:tcPr>
          <w:p>
            <w:pPr>
              <w:jc w:val="center"/>
            </w:pPr>
            <w:r>
              <w:rPr>
                <w:rFonts w:hint="eastAsia"/>
              </w:rPr>
              <w:t>中国古典文献学</w:t>
            </w:r>
          </w:p>
        </w:tc>
        <w:tc>
          <w:tcPr>
            <w:tcW w:w="1559" w:type="dxa"/>
            <w:vAlign w:val="center"/>
          </w:tcPr>
          <w:p>
            <w:pPr>
              <w:jc w:val="center"/>
            </w:pPr>
            <w:r>
              <w:rPr>
                <w:rFonts w:hint="eastAsia"/>
              </w:rPr>
              <w:t>7</w:t>
            </w:r>
          </w:p>
        </w:tc>
        <w:tc>
          <w:tcPr>
            <w:tcW w:w="1276" w:type="dxa"/>
            <w:vAlign w:val="center"/>
          </w:tcPr>
          <w:p>
            <w:pPr>
              <w:jc w:val="center"/>
            </w:pPr>
            <w:r>
              <w:rPr>
                <w:rFonts w:hint="eastAsia"/>
              </w:rPr>
              <w:t>1</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9</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050105</w:t>
            </w:r>
          </w:p>
        </w:tc>
        <w:tc>
          <w:tcPr>
            <w:tcW w:w="2552" w:type="dxa"/>
            <w:vAlign w:val="center"/>
          </w:tcPr>
          <w:p>
            <w:pPr>
              <w:jc w:val="center"/>
            </w:pPr>
            <w:r>
              <w:rPr>
                <w:rFonts w:hint="eastAsia"/>
              </w:rPr>
              <w:t>中国古代文学</w:t>
            </w:r>
          </w:p>
        </w:tc>
        <w:tc>
          <w:tcPr>
            <w:tcW w:w="1559" w:type="dxa"/>
            <w:vAlign w:val="center"/>
          </w:tcPr>
          <w:p>
            <w:pPr>
              <w:jc w:val="center"/>
            </w:pPr>
            <w:r>
              <w:rPr>
                <w:rFonts w:hint="eastAsia"/>
              </w:rPr>
              <w:t>21</w:t>
            </w:r>
          </w:p>
        </w:tc>
        <w:tc>
          <w:tcPr>
            <w:tcW w:w="1276" w:type="dxa"/>
            <w:vAlign w:val="center"/>
          </w:tcPr>
          <w:p>
            <w:pPr>
              <w:jc w:val="center"/>
            </w:pPr>
            <w:r>
              <w:rPr>
                <w:rFonts w:hint="eastAsia"/>
              </w:rPr>
              <w:t>8</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10</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050106</w:t>
            </w:r>
          </w:p>
        </w:tc>
        <w:tc>
          <w:tcPr>
            <w:tcW w:w="2552" w:type="dxa"/>
            <w:vAlign w:val="center"/>
          </w:tcPr>
          <w:p>
            <w:pPr>
              <w:jc w:val="center"/>
            </w:pPr>
            <w:r>
              <w:rPr>
                <w:rFonts w:hint="eastAsia"/>
              </w:rPr>
              <w:t>中国现当代文学</w:t>
            </w:r>
          </w:p>
        </w:tc>
        <w:tc>
          <w:tcPr>
            <w:tcW w:w="1559" w:type="dxa"/>
            <w:vAlign w:val="center"/>
          </w:tcPr>
          <w:p>
            <w:pPr>
              <w:jc w:val="center"/>
            </w:pPr>
            <w:r>
              <w:rPr>
                <w:rFonts w:hint="eastAsia"/>
              </w:rPr>
              <w:t>22</w:t>
            </w:r>
          </w:p>
        </w:tc>
        <w:tc>
          <w:tcPr>
            <w:tcW w:w="1276" w:type="dxa"/>
            <w:vAlign w:val="center"/>
          </w:tcPr>
          <w:p>
            <w:pPr>
              <w:jc w:val="center"/>
            </w:pPr>
            <w:r>
              <w:rPr>
                <w:rFonts w:hint="eastAsia"/>
              </w:rPr>
              <w:t>9</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11</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050108</w:t>
            </w:r>
          </w:p>
        </w:tc>
        <w:tc>
          <w:tcPr>
            <w:tcW w:w="2552" w:type="dxa"/>
            <w:vAlign w:val="center"/>
          </w:tcPr>
          <w:p>
            <w:pPr>
              <w:jc w:val="center"/>
            </w:pPr>
            <w:r>
              <w:rPr>
                <w:rFonts w:hint="eastAsia"/>
              </w:rPr>
              <w:t>比较文学与世界文学</w:t>
            </w:r>
          </w:p>
        </w:tc>
        <w:tc>
          <w:tcPr>
            <w:tcW w:w="1559" w:type="dxa"/>
            <w:vAlign w:val="center"/>
          </w:tcPr>
          <w:p>
            <w:pPr>
              <w:jc w:val="center"/>
            </w:pPr>
            <w:r>
              <w:rPr>
                <w:rFonts w:hint="eastAsia"/>
              </w:rPr>
              <w:t>8</w:t>
            </w:r>
          </w:p>
        </w:tc>
        <w:tc>
          <w:tcPr>
            <w:tcW w:w="1276" w:type="dxa"/>
            <w:vAlign w:val="center"/>
          </w:tcPr>
          <w:p>
            <w:pPr>
              <w:jc w:val="center"/>
            </w:pPr>
            <w:r>
              <w:rPr>
                <w:rFonts w:hint="eastAsia"/>
              </w:rPr>
              <w:t>2</w:t>
            </w:r>
          </w:p>
        </w:tc>
        <w:tc>
          <w:tcPr>
            <w:tcW w:w="1323" w:type="dxa"/>
            <w:vAlign w:val="center"/>
          </w:tcPr>
          <w:p>
            <w:pPr>
              <w:jc w:val="center"/>
            </w:pPr>
            <w:r>
              <w:rPr>
                <w:rFonts w:hint="eastAsi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60" w:lineRule="auto"/>
              <w:jc w:val="center"/>
            </w:pPr>
            <w:r>
              <w:rPr>
                <w:rFonts w:hint="eastAsia"/>
              </w:rPr>
              <w:t>12</w:t>
            </w:r>
          </w:p>
        </w:tc>
        <w:tc>
          <w:tcPr>
            <w:tcW w:w="1134" w:type="dxa"/>
            <w:vAlign w:val="center"/>
          </w:tcPr>
          <w:p>
            <w:pPr>
              <w:jc w:val="center"/>
            </w:pPr>
            <w:r>
              <w:rPr>
                <w:rFonts w:hint="eastAsia"/>
              </w:rPr>
              <w:t>全日制</w:t>
            </w:r>
          </w:p>
        </w:tc>
        <w:tc>
          <w:tcPr>
            <w:tcW w:w="1134" w:type="dxa"/>
            <w:vAlign w:val="center"/>
          </w:tcPr>
          <w:p>
            <w:pPr>
              <w:jc w:val="center"/>
            </w:pPr>
            <w:r>
              <w:rPr>
                <w:rFonts w:hint="eastAsia"/>
              </w:rPr>
              <w:t>0501Z2</w:t>
            </w:r>
          </w:p>
        </w:tc>
        <w:tc>
          <w:tcPr>
            <w:tcW w:w="2552" w:type="dxa"/>
            <w:vAlign w:val="center"/>
          </w:tcPr>
          <w:p>
            <w:pPr>
              <w:jc w:val="center"/>
            </w:pPr>
            <w:r>
              <w:rPr>
                <w:rFonts w:hint="eastAsia"/>
              </w:rPr>
              <w:t>审美文化学</w:t>
            </w:r>
          </w:p>
        </w:tc>
        <w:tc>
          <w:tcPr>
            <w:tcW w:w="1559" w:type="dxa"/>
            <w:vAlign w:val="center"/>
          </w:tcPr>
          <w:p>
            <w:pPr>
              <w:jc w:val="center"/>
            </w:pPr>
            <w:r>
              <w:rPr>
                <w:rFonts w:hint="eastAsia"/>
              </w:rPr>
              <w:t>4</w:t>
            </w:r>
          </w:p>
        </w:tc>
        <w:tc>
          <w:tcPr>
            <w:tcW w:w="1276" w:type="dxa"/>
            <w:vAlign w:val="center"/>
          </w:tcPr>
          <w:p>
            <w:pPr>
              <w:jc w:val="center"/>
            </w:pPr>
            <w:r>
              <w:rPr>
                <w:rFonts w:hint="eastAsia"/>
              </w:rPr>
              <w:t>1</w:t>
            </w:r>
          </w:p>
        </w:tc>
        <w:tc>
          <w:tcPr>
            <w:tcW w:w="1323" w:type="dxa"/>
            <w:vAlign w:val="center"/>
          </w:tcPr>
          <w:p>
            <w:pPr>
              <w:jc w:val="center"/>
            </w:pPr>
            <w:r>
              <w:rPr>
                <w:rFonts w:hint="eastAsia"/>
              </w:rPr>
              <w:t>1:1.5</w:t>
            </w:r>
          </w:p>
        </w:tc>
      </w:tr>
    </w:tbl>
    <w:p>
      <w:pPr>
        <w:spacing w:line="360" w:lineRule="auto"/>
        <w:rPr>
          <w:b/>
          <w:sz w:val="24"/>
        </w:rPr>
      </w:pPr>
      <w:r>
        <w:rPr>
          <w:rFonts w:hint="eastAsia"/>
          <w:b/>
          <w:sz w:val="24"/>
        </w:rPr>
        <w:t>二、初试合格最低分数线</w:t>
      </w:r>
    </w:p>
    <w:p>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12"/>
        <w:gridCol w:w="2552"/>
        <w:gridCol w:w="850"/>
        <w:gridCol w:w="851"/>
        <w:gridCol w:w="850"/>
        <w:gridCol w:w="85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黑体" w:hAnsi="黑体" w:eastAsia="黑体"/>
              </w:rPr>
            </w:pPr>
            <w:r>
              <w:rPr>
                <w:rFonts w:hint="eastAsia" w:ascii="黑体" w:hAnsi="黑体" w:eastAsia="黑体"/>
              </w:rPr>
              <w:t>序号</w:t>
            </w:r>
          </w:p>
        </w:tc>
        <w:tc>
          <w:tcPr>
            <w:tcW w:w="1134" w:type="dxa"/>
            <w:vAlign w:val="center"/>
          </w:tcPr>
          <w:p>
            <w:pPr>
              <w:jc w:val="center"/>
              <w:rPr>
                <w:rFonts w:ascii="黑体" w:hAnsi="黑体" w:eastAsia="黑体"/>
              </w:rPr>
            </w:pPr>
            <w:r>
              <w:rPr>
                <w:rFonts w:hint="eastAsia" w:ascii="黑体" w:hAnsi="黑体" w:eastAsia="黑体"/>
              </w:rPr>
              <w:t>学习方式</w:t>
            </w:r>
          </w:p>
        </w:tc>
        <w:tc>
          <w:tcPr>
            <w:tcW w:w="1112" w:type="dxa"/>
            <w:vAlign w:val="center"/>
          </w:tcPr>
          <w:p>
            <w:pPr>
              <w:jc w:val="center"/>
              <w:rPr>
                <w:rFonts w:ascii="黑体" w:hAnsi="黑体" w:eastAsia="黑体"/>
              </w:rPr>
            </w:pPr>
            <w:r>
              <w:rPr>
                <w:rFonts w:hint="eastAsia" w:ascii="黑体" w:hAnsi="黑体" w:eastAsia="黑体"/>
              </w:rPr>
              <w:t>专业代码</w:t>
            </w:r>
          </w:p>
        </w:tc>
        <w:tc>
          <w:tcPr>
            <w:tcW w:w="2552" w:type="dxa"/>
            <w:vAlign w:val="center"/>
          </w:tcPr>
          <w:p>
            <w:pPr>
              <w:jc w:val="center"/>
              <w:rPr>
                <w:rFonts w:ascii="黑体" w:hAnsi="黑体" w:eastAsia="黑体"/>
              </w:rPr>
            </w:pPr>
            <w:r>
              <w:rPr>
                <w:rFonts w:hint="eastAsia" w:ascii="黑体" w:hAnsi="黑体" w:eastAsia="黑体"/>
              </w:rPr>
              <w:t>专业名称</w:t>
            </w:r>
          </w:p>
        </w:tc>
        <w:tc>
          <w:tcPr>
            <w:tcW w:w="850" w:type="dxa"/>
            <w:vAlign w:val="center"/>
          </w:tcPr>
          <w:p>
            <w:pPr>
              <w:jc w:val="center"/>
              <w:rPr>
                <w:rFonts w:ascii="黑体" w:hAnsi="黑体" w:eastAsia="黑体"/>
              </w:rPr>
            </w:pPr>
            <w:r>
              <w:rPr>
                <w:rFonts w:hint="eastAsia" w:ascii="黑体" w:hAnsi="黑体" w:eastAsia="黑体"/>
              </w:rPr>
              <w:t>政治</w:t>
            </w:r>
          </w:p>
        </w:tc>
        <w:tc>
          <w:tcPr>
            <w:tcW w:w="851" w:type="dxa"/>
            <w:vAlign w:val="center"/>
          </w:tcPr>
          <w:p>
            <w:pPr>
              <w:jc w:val="center"/>
              <w:rPr>
                <w:rFonts w:ascii="黑体" w:hAnsi="黑体" w:eastAsia="黑体"/>
              </w:rPr>
            </w:pPr>
            <w:r>
              <w:rPr>
                <w:rFonts w:hint="eastAsia" w:ascii="黑体" w:hAnsi="黑体" w:eastAsia="黑体"/>
              </w:rPr>
              <w:t>外国语</w:t>
            </w:r>
          </w:p>
        </w:tc>
        <w:tc>
          <w:tcPr>
            <w:tcW w:w="850" w:type="dxa"/>
            <w:vAlign w:val="center"/>
          </w:tcPr>
          <w:p>
            <w:pPr>
              <w:jc w:val="center"/>
              <w:rPr>
                <w:rFonts w:ascii="黑体" w:hAnsi="黑体" w:eastAsia="黑体"/>
              </w:rPr>
            </w:pPr>
            <w:r>
              <w:rPr>
                <w:rFonts w:hint="eastAsia" w:ascii="黑体" w:hAnsi="黑体" w:eastAsia="黑体"/>
              </w:rPr>
              <w:t>业务一</w:t>
            </w:r>
          </w:p>
        </w:tc>
        <w:tc>
          <w:tcPr>
            <w:tcW w:w="851" w:type="dxa"/>
            <w:vAlign w:val="center"/>
          </w:tcPr>
          <w:p>
            <w:pPr>
              <w:jc w:val="center"/>
              <w:rPr>
                <w:rFonts w:ascii="黑体" w:hAnsi="黑体" w:eastAsia="黑体"/>
              </w:rPr>
            </w:pPr>
            <w:r>
              <w:rPr>
                <w:rFonts w:hint="eastAsia" w:ascii="黑体" w:hAnsi="黑体" w:eastAsia="黑体"/>
              </w:rPr>
              <w:t>业务二</w:t>
            </w:r>
          </w:p>
        </w:tc>
        <w:tc>
          <w:tcPr>
            <w:tcW w:w="770" w:type="dxa"/>
            <w:vAlign w:val="center"/>
          </w:tcPr>
          <w:p>
            <w:pPr>
              <w:jc w:val="center"/>
              <w:rPr>
                <w:rFonts w:ascii="黑体" w:hAnsi="黑体" w:eastAsia="黑体"/>
              </w:rPr>
            </w:pPr>
            <w:r>
              <w:rPr>
                <w:rFonts w:hint="eastAsia" w:ascii="黑体" w:hAnsi="黑体" w:eastAsia="黑体"/>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1</w:t>
            </w:r>
          </w:p>
        </w:tc>
        <w:tc>
          <w:tcPr>
            <w:tcW w:w="1134" w:type="dxa"/>
            <w:vAlign w:val="center"/>
          </w:tcPr>
          <w:p>
            <w:pPr>
              <w:jc w:val="center"/>
            </w:pPr>
            <w:r>
              <w:rPr>
                <w:rFonts w:hint="eastAsia"/>
              </w:rPr>
              <w:t>全日制</w:t>
            </w:r>
          </w:p>
        </w:tc>
        <w:tc>
          <w:tcPr>
            <w:tcW w:w="1112" w:type="dxa"/>
            <w:vAlign w:val="center"/>
          </w:tcPr>
          <w:p>
            <w:pPr>
              <w:jc w:val="center"/>
            </w:pPr>
            <w:r>
              <w:rPr>
                <w:rFonts w:hint="eastAsia"/>
              </w:rPr>
              <w:t>040102</w:t>
            </w:r>
          </w:p>
        </w:tc>
        <w:tc>
          <w:tcPr>
            <w:tcW w:w="2552" w:type="dxa"/>
            <w:vAlign w:val="center"/>
          </w:tcPr>
          <w:p>
            <w:pPr>
              <w:jc w:val="center"/>
            </w:pPr>
            <w:r>
              <w:rPr>
                <w:rFonts w:hint="eastAsia"/>
              </w:rPr>
              <w:t>课程与教学论</w:t>
            </w:r>
          </w:p>
        </w:tc>
        <w:tc>
          <w:tcPr>
            <w:tcW w:w="850" w:type="dxa"/>
            <w:vAlign w:val="center"/>
          </w:tcPr>
          <w:p>
            <w:pPr>
              <w:spacing w:line="360" w:lineRule="auto"/>
              <w:jc w:val="center"/>
            </w:pPr>
            <w:r>
              <w:rPr>
                <w:rFonts w:hint="eastAsia"/>
              </w:rPr>
              <w:t>51</w:t>
            </w:r>
          </w:p>
        </w:tc>
        <w:tc>
          <w:tcPr>
            <w:tcW w:w="851" w:type="dxa"/>
            <w:vAlign w:val="center"/>
          </w:tcPr>
          <w:p>
            <w:pPr>
              <w:spacing w:line="360" w:lineRule="auto"/>
              <w:jc w:val="center"/>
            </w:pPr>
            <w:r>
              <w:rPr>
                <w:rFonts w:hint="eastAsia"/>
              </w:rPr>
              <w:t>51</w:t>
            </w:r>
          </w:p>
        </w:tc>
        <w:tc>
          <w:tcPr>
            <w:tcW w:w="850" w:type="dxa"/>
            <w:vAlign w:val="center"/>
          </w:tcPr>
          <w:p>
            <w:pPr>
              <w:spacing w:line="360" w:lineRule="auto"/>
              <w:jc w:val="center"/>
            </w:pPr>
            <w:r>
              <w:rPr>
                <w:rFonts w:hint="eastAsia"/>
              </w:rPr>
              <w:t>77</w:t>
            </w:r>
          </w:p>
        </w:tc>
        <w:tc>
          <w:tcPr>
            <w:tcW w:w="851" w:type="dxa"/>
            <w:vAlign w:val="center"/>
          </w:tcPr>
          <w:p>
            <w:pPr>
              <w:spacing w:line="360" w:lineRule="auto"/>
              <w:jc w:val="center"/>
            </w:pPr>
            <w:r>
              <w:rPr>
                <w:rFonts w:hint="eastAsia"/>
              </w:rPr>
              <w:t>77</w:t>
            </w:r>
          </w:p>
        </w:tc>
        <w:tc>
          <w:tcPr>
            <w:tcW w:w="770" w:type="dxa"/>
            <w:vAlign w:val="center"/>
          </w:tcPr>
          <w:p>
            <w:pPr>
              <w:spacing w:line="360" w:lineRule="auto"/>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2</w:t>
            </w:r>
          </w:p>
        </w:tc>
        <w:tc>
          <w:tcPr>
            <w:tcW w:w="1134" w:type="dxa"/>
            <w:vAlign w:val="center"/>
          </w:tcPr>
          <w:p>
            <w:pPr>
              <w:jc w:val="center"/>
            </w:pPr>
            <w:r>
              <w:rPr>
                <w:rFonts w:hint="eastAsia"/>
              </w:rPr>
              <w:t>全日制</w:t>
            </w:r>
          </w:p>
        </w:tc>
        <w:tc>
          <w:tcPr>
            <w:tcW w:w="1112" w:type="dxa"/>
            <w:vAlign w:val="center"/>
          </w:tcPr>
          <w:p>
            <w:pPr>
              <w:jc w:val="center"/>
            </w:pPr>
            <w:r>
              <w:rPr>
                <w:rFonts w:hint="eastAsia"/>
              </w:rPr>
              <w:t>045103</w:t>
            </w:r>
          </w:p>
        </w:tc>
        <w:tc>
          <w:tcPr>
            <w:tcW w:w="2552" w:type="dxa"/>
            <w:vAlign w:val="center"/>
          </w:tcPr>
          <w:p>
            <w:pPr>
              <w:jc w:val="center"/>
            </w:pPr>
            <w:r>
              <w:rPr>
                <w:rFonts w:hint="eastAsia"/>
              </w:rPr>
              <w:t>学科教学（语文）01方向</w:t>
            </w:r>
          </w:p>
        </w:tc>
        <w:tc>
          <w:tcPr>
            <w:tcW w:w="850" w:type="dxa"/>
            <w:vAlign w:val="center"/>
          </w:tcPr>
          <w:p>
            <w:pPr>
              <w:spacing w:line="360" w:lineRule="auto"/>
              <w:jc w:val="center"/>
            </w:pPr>
            <w:r>
              <w:rPr>
                <w:rFonts w:hint="eastAsia"/>
              </w:rPr>
              <w:t>51</w:t>
            </w:r>
          </w:p>
        </w:tc>
        <w:tc>
          <w:tcPr>
            <w:tcW w:w="851" w:type="dxa"/>
            <w:vAlign w:val="center"/>
          </w:tcPr>
          <w:p>
            <w:pPr>
              <w:spacing w:line="360" w:lineRule="auto"/>
              <w:jc w:val="center"/>
            </w:pPr>
            <w:r>
              <w:rPr>
                <w:rFonts w:hint="eastAsia"/>
              </w:rPr>
              <w:t>51</w:t>
            </w:r>
          </w:p>
        </w:tc>
        <w:tc>
          <w:tcPr>
            <w:tcW w:w="850" w:type="dxa"/>
            <w:vAlign w:val="center"/>
          </w:tcPr>
          <w:p>
            <w:pPr>
              <w:spacing w:line="360" w:lineRule="auto"/>
              <w:jc w:val="center"/>
            </w:pPr>
            <w:r>
              <w:rPr>
                <w:rFonts w:hint="eastAsia"/>
              </w:rPr>
              <w:t>77</w:t>
            </w:r>
          </w:p>
        </w:tc>
        <w:tc>
          <w:tcPr>
            <w:tcW w:w="851" w:type="dxa"/>
            <w:vAlign w:val="center"/>
          </w:tcPr>
          <w:p>
            <w:pPr>
              <w:spacing w:line="360" w:lineRule="auto"/>
              <w:jc w:val="center"/>
            </w:pPr>
            <w:r>
              <w:rPr>
                <w:rFonts w:hint="eastAsia"/>
              </w:rPr>
              <w:t>77</w:t>
            </w:r>
          </w:p>
        </w:tc>
        <w:tc>
          <w:tcPr>
            <w:tcW w:w="770" w:type="dxa"/>
            <w:vAlign w:val="center"/>
          </w:tcPr>
          <w:p>
            <w:pPr>
              <w:spacing w:line="360" w:lineRule="auto"/>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3</w:t>
            </w:r>
          </w:p>
        </w:tc>
        <w:tc>
          <w:tcPr>
            <w:tcW w:w="1134" w:type="dxa"/>
            <w:vAlign w:val="center"/>
          </w:tcPr>
          <w:p>
            <w:pPr>
              <w:jc w:val="center"/>
            </w:pPr>
            <w:r>
              <w:rPr>
                <w:rFonts w:hint="eastAsia"/>
              </w:rPr>
              <w:t>全日制</w:t>
            </w:r>
          </w:p>
        </w:tc>
        <w:tc>
          <w:tcPr>
            <w:tcW w:w="1112" w:type="dxa"/>
            <w:vAlign w:val="center"/>
          </w:tcPr>
          <w:p>
            <w:pPr>
              <w:jc w:val="center"/>
            </w:pPr>
            <w:r>
              <w:rPr>
                <w:rFonts w:hint="eastAsia"/>
              </w:rPr>
              <w:t>045103</w:t>
            </w:r>
          </w:p>
        </w:tc>
        <w:tc>
          <w:tcPr>
            <w:tcW w:w="2552" w:type="dxa"/>
            <w:vAlign w:val="center"/>
          </w:tcPr>
          <w:p>
            <w:pPr>
              <w:jc w:val="center"/>
            </w:pPr>
            <w:r>
              <w:rPr>
                <w:rFonts w:hint="eastAsia"/>
              </w:rPr>
              <w:t>学科教学（语文）02方向</w:t>
            </w:r>
          </w:p>
        </w:tc>
        <w:tc>
          <w:tcPr>
            <w:tcW w:w="850" w:type="dxa"/>
            <w:vAlign w:val="center"/>
          </w:tcPr>
          <w:p>
            <w:pPr>
              <w:spacing w:line="360" w:lineRule="auto"/>
              <w:jc w:val="center"/>
            </w:pPr>
            <w:r>
              <w:rPr>
                <w:rFonts w:hint="eastAsia"/>
              </w:rPr>
              <w:t>51</w:t>
            </w:r>
          </w:p>
        </w:tc>
        <w:tc>
          <w:tcPr>
            <w:tcW w:w="851" w:type="dxa"/>
            <w:vAlign w:val="center"/>
          </w:tcPr>
          <w:p>
            <w:pPr>
              <w:spacing w:line="360" w:lineRule="auto"/>
              <w:jc w:val="center"/>
            </w:pPr>
            <w:r>
              <w:rPr>
                <w:rFonts w:hint="eastAsia"/>
              </w:rPr>
              <w:t>51</w:t>
            </w:r>
          </w:p>
        </w:tc>
        <w:tc>
          <w:tcPr>
            <w:tcW w:w="850" w:type="dxa"/>
            <w:vAlign w:val="center"/>
          </w:tcPr>
          <w:p>
            <w:pPr>
              <w:spacing w:line="360" w:lineRule="auto"/>
              <w:jc w:val="center"/>
            </w:pPr>
            <w:r>
              <w:rPr>
                <w:rFonts w:hint="eastAsia"/>
              </w:rPr>
              <w:t>77</w:t>
            </w:r>
          </w:p>
        </w:tc>
        <w:tc>
          <w:tcPr>
            <w:tcW w:w="851" w:type="dxa"/>
            <w:vAlign w:val="center"/>
          </w:tcPr>
          <w:p>
            <w:pPr>
              <w:spacing w:line="360" w:lineRule="auto"/>
              <w:jc w:val="center"/>
            </w:pPr>
            <w:r>
              <w:rPr>
                <w:rFonts w:hint="eastAsia"/>
              </w:rPr>
              <w:t>77</w:t>
            </w:r>
          </w:p>
        </w:tc>
        <w:tc>
          <w:tcPr>
            <w:tcW w:w="770" w:type="dxa"/>
            <w:vAlign w:val="center"/>
          </w:tcPr>
          <w:p>
            <w:pPr>
              <w:spacing w:line="360" w:lineRule="auto"/>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4</w:t>
            </w:r>
          </w:p>
        </w:tc>
        <w:tc>
          <w:tcPr>
            <w:tcW w:w="1134" w:type="dxa"/>
            <w:vAlign w:val="center"/>
          </w:tcPr>
          <w:p>
            <w:pPr>
              <w:jc w:val="center"/>
            </w:pPr>
            <w:r>
              <w:rPr>
                <w:rFonts w:hint="eastAsia"/>
              </w:rPr>
              <w:t>非全日制</w:t>
            </w:r>
          </w:p>
        </w:tc>
        <w:tc>
          <w:tcPr>
            <w:tcW w:w="1112" w:type="dxa"/>
            <w:vAlign w:val="center"/>
          </w:tcPr>
          <w:p>
            <w:pPr>
              <w:jc w:val="center"/>
            </w:pPr>
            <w:r>
              <w:rPr>
                <w:rFonts w:hint="eastAsia"/>
              </w:rPr>
              <w:t>045103</w:t>
            </w:r>
          </w:p>
        </w:tc>
        <w:tc>
          <w:tcPr>
            <w:tcW w:w="2552" w:type="dxa"/>
            <w:vAlign w:val="center"/>
          </w:tcPr>
          <w:p>
            <w:pPr>
              <w:jc w:val="center"/>
            </w:pPr>
            <w:r>
              <w:rPr>
                <w:rFonts w:hint="eastAsia"/>
              </w:rPr>
              <w:t>学科教学（语文）03方向</w:t>
            </w:r>
          </w:p>
        </w:tc>
        <w:tc>
          <w:tcPr>
            <w:tcW w:w="850" w:type="dxa"/>
            <w:vAlign w:val="center"/>
          </w:tcPr>
          <w:p>
            <w:pPr>
              <w:spacing w:line="360" w:lineRule="auto"/>
              <w:jc w:val="center"/>
            </w:pPr>
            <w:r>
              <w:rPr>
                <w:rFonts w:hint="eastAsia"/>
              </w:rPr>
              <w:t>51</w:t>
            </w:r>
          </w:p>
        </w:tc>
        <w:tc>
          <w:tcPr>
            <w:tcW w:w="851" w:type="dxa"/>
            <w:vAlign w:val="center"/>
          </w:tcPr>
          <w:p>
            <w:pPr>
              <w:spacing w:line="360" w:lineRule="auto"/>
              <w:jc w:val="center"/>
            </w:pPr>
            <w:r>
              <w:rPr>
                <w:rFonts w:hint="eastAsia"/>
              </w:rPr>
              <w:t>51</w:t>
            </w:r>
          </w:p>
        </w:tc>
        <w:tc>
          <w:tcPr>
            <w:tcW w:w="850" w:type="dxa"/>
            <w:vAlign w:val="center"/>
          </w:tcPr>
          <w:p>
            <w:pPr>
              <w:spacing w:line="360" w:lineRule="auto"/>
              <w:jc w:val="center"/>
            </w:pPr>
            <w:r>
              <w:rPr>
                <w:rFonts w:hint="eastAsia"/>
              </w:rPr>
              <w:t>77</w:t>
            </w:r>
          </w:p>
        </w:tc>
        <w:tc>
          <w:tcPr>
            <w:tcW w:w="851" w:type="dxa"/>
            <w:vAlign w:val="center"/>
          </w:tcPr>
          <w:p>
            <w:pPr>
              <w:spacing w:line="360" w:lineRule="auto"/>
              <w:jc w:val="center"/>
            </w:pPr>
            <w:r>
              <w:rPr>
                <w:rFonts w:hint="eastAsia"/>
              </w:rPr>
              <w:t>77</w:t>
            </w:r>
          </w:p>
        </w:tc>
        <w:tc>
          <w:tcPr>
            <w:tcW w:w="770" w:type="dxa"/>
            <w:vAlign w:val="center"/>
          </w:tcPr>
          <w:p>
            <w:pPr>
              <w:spacing w:line="360" w:lineRule="auto"/>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5</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050101</w:t>
            </w:r>
          </w:p>
        </w:tc>
        <w:tc>
          <w:tcPr>
            <w:tcW w:w="2552" w:type="dxa"/>
            <w:vAlign w:val="center"/>
          </w:tcPr>
          <w:p>
            <w:pPr>
              <w:jc w:val="center"/>
            </w:pPr>
            <w:r>
              <w:rPr>
                <w:rFonts w:hint="eastAsia"/>
              </w:rPr>
              <w:t>文艺学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6</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050102</w:t>
            </w:r>
          </w:p>
        </w:tc>
        <w:tc>
          <w:tcPr>
            <w:tcW w:w="2552" w:type="dxa"/>
            <w:vAlign w:val="center"/>
          </w:tcPr>
          <w:p>
            <w:pPr>
              <w:jc w:val="center"/>
            </w:pPr>
            <w:r>
              <w:rPr>
                <w:rFonts w:hint="eastAsia"/>
              </w:rPr>
              <w:t>语言学及应用语言学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7</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050103</w:t>
            </w:r>
          </w:p>
        </w:tc>
        <w:tc>
          <w:tcPr>
            <w:tcW w:w="2552" w:type="dxa"/>
            <w:vAlign w:val="center"/>
          </w:tcPr>
          <w:p>
            <w:pPr>
              <w:jc w:val="center"/>
            </w:pPr>
            <w:r>
              <w:rPr>
                <w:rFonts w:hint="eastAsia"/>
              </w:rPr>
              <w:t>汉语言文字学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8</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050104</w:t>
            </w:r>
          </w:p>
        </w:tc>
        <w:tc>
          <w:tcPr>
            <w:tcW w:w="2552" w:type="dxa"/>
            <w:vAlign w:val="center"/>
          </w:tcPr>
          <w:p>
            <w:pPr>
              <w:jc w:val="center"/>
            </w:pPr>
            <w:r>
              <w:rPr>
                <w:rFonts w:hint="eastAsia"/>
              </w:rPr>
              <w:t>中国古典文献学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9</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050105</w:t>
            </w:r>
          </w:p>
        </w:tc>
        <w:tc>
          <w:tcPr>
            <w:tcW w:w="2552" w:type="dxa"/>
            <w:vAlign w:val="center"/>
          </w:tcPr>
          <w:p>
            <w:pPr>
              <w:jc w:val="center"/>
            </w:pPr>
            <w:r>
              <w:rPr>
                <w:rFonts w:hint="eastAsia"/>
              </w:rPr>
              <w:t>中国古代文学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10</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050106</w:t>
            </w:r>
          </w:p>
        </w:tc>
        <w:tc>
          <w:tcPr>
            <w:tcW w:w="2552" w:type="dxa"/>
            <w:vAlign w:val="center"/>
          </w:tcPr>
          <w:p>
            <w:pPr>
              <w:jc w:val="center"/>
            </w:pPr>
            <w:r>
              <w:rPr>
                <w:rFonts w:hint="eastAsia"/>
              </w:rPr>
              <w:t>中国现当代文学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11</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050108</w:t>
            </w:r>
          </w:p>
        </w:tc>
        <w:tc>
          <w:tcPr>
            <w:tcW w:w="2552" w:type="dxa"/>
            <w:vAlign w:val="center"/>
          </w:tcPr>
          <w:p>
            <w:pPr>
              <w:jc w:val="center"/>
            </w:pPr>
            <w:r>
              <w:rPr>
                <w:rFonts w:hint="eastAsia"/>
              </w:rPr>
              <w:t>比较文学与世界文学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12</w:t>
            </w:r>
          </w:p>
        </w:tc>
        <w:tc>
          <w:tcPr>
            <w:tcW w:w="1134" w:type="dxa"/>
            <w:vAlign w:val="center"/>
          </w:tcPr>
          <w:p>
            <w:pPr>
              <w:jc w:val="center"/>
            </w:pPr>
            <w:r>
              <w:rPr>
                <w:rFonts w:hint="eastAsia"/>
              </w:rPr>
              <w:t>全日制</w:t>
            </w:r>
          </w:p>
        </w:tc>
        <w:tc>
          <w:tcPr>
            <w:tcW w:w="1112" w:type="dxa"/>
            <w:vAlign w:val="center"/>
          </w:tcPr>
          <w:p>
            <w:pPr>
              <w:jc w:val="center"/>
            </w:pPr>
            <w:r>
              <w:rPr>
                <w:rFonts w:hint="eastAsia"/>
              </w:rPr>
              <w:t>0501Z2</w:t>
            </w:r>
          </w:p>
        </w:tc>
        <w:tc>
          <w:tcPr>
            <w:tcW w:w="2552" w:type="dxa"/>
            <w:vAlign w:val="center"/>
          </w:tcPr>
          <w:p>
            <w:pPr>
              <w:jc w:val="center"/>
            </w:pPr>
            <w:r>
              <w:rPr>
                <w:rFonts w:hint="eastAsia"/>
              </w:rPr>
              <w:t>审美文化学</w:t>
            </w:r>
          </w:p>
        </w:tc>
        <w:tc>
          <w:tcPr>
            <w:tcW w:w="850" w:type="dxa"/>
            <w:vAlign w:val="center"/>
          </w:tcPr>
          <w:p>
            <w:pPr>
              <w:spacing w:line="360" w:lineRule="auto"/>
              <w:jc w:val="center"/>
            </w:pPr>
            <w:r>
              <w:rPr>
                <w:rFonts w:hint="eastAsia"/>
              </w:rPr>
              <w:t>55</w:t>
            </w:r>
          </w:p>
        </w:tc>
        <w:tc>
          <w:tcPr>
            <w:tcW w:w="851" w:type="dxa"/>
            <w:vAlign w:val="center"/>
          </w:tcPr>
          <w:p>
            <w:pPr>
              <w:spacing w:line="360" w:lineRule="auto"/>
              <w:jc w:val="center"/>
            </w:pPr>
            <w:r>
              <w:rPr>
                <w:rFonts w:hint="eastAsia"/>
              </w:rPr>
              <w:t>55</w:t>
            </w:r>
          </w:p>
        </w:tc>
        <w:tc>
          <w:tcPr>
            <w:tcW w:w="850" w:type="dxa"/>
            <w:vAlign w:val="center"/>
          </w:tcPr>
          <w:p>
            <w:pPr>
              <w:spacing w:line="360" w:lineRule="auto"/>
              <w:jc w:val="center"/>
            </w:pPr>
            <w:r>
              <w:rPr>
                <w:rFonts w:hint="eastAsia"/>
              </w:rPr>
              <w:t>83</w:t>
            </w:r>
          </w:p>
        </w:tc>
        <w:tc>
          <w:tcPr>
            <w:tcW w:w="851" w:type="dxa"/>
            <w:vAlign w:val="center"/>
          </w:tcPr>
          <w:p>
            <w:pPr>
              <w:spacing w:line="360" w:lineRule="auto"/>
              <w:jc w:val="center"/>
            </w:pPr>
            <w:r>
              <w:rPr>
                <w:rFonts w:hint="eastAsia"/>
              </w:rPr>
              <w:t>83</w:t>
            </w:r>
          </w:p>
        </w:tc>
        <w:tc>
          <w:tcPr>
            <w:tcW w:w="770" w:type="dxa"/>
            <w:vAlign w:val="center"/>
          </w:tcPr>
          <w:p>
            <w:pPr>
              <w:spacing w:line="360" w:lineRule="auto"/>
              <w:jc w:val="center"/>
            </w:pPr>
            <w:r>
              <w:rPr>
                <w:rFonts w:hint="eastAsia"/>
              </w:rPr>
              <w:t>380</w:t>
            </w:r>
          </w:p>
        </w:tc>
      </w:tr>
    </w:tbl>
    <w:p>
      <w:pPr>
        <w:spacing w:line="360" w:lineRule="auto"/>
        <w:rPr>
          <w:b/>
          <w:sz w:val="24"/>
        </w:rPr>
      </w:pPr>
    </w:p>
    <w:p>
      <w:pPr>
        <w:spacing w:line="360" w:lineRule="auto"/>
        <w:rPr>
          <w:b/>
          <w:sz w:val="24"/>
        </w:rPr>
      </w:pPr>
      <w:r>
        <w:rPr>
          <w:rFonts w:hint="eastAsia"/>
          <w:b/>
          <w:sz w:val="24"/>
        </w:rPr>
        <w:t>三、复试名单</w:t>
      </w:r>
    </w:p>
    <w:p>
      <w:pPr>
        <w:spacing w:line="360" w:lineRule="auto"/>
        <w:jc w:val="center"/>
        <w:rPr>
          <w:b/>
          <w:sz w:val="28"/>
        </w:rPr>
      </w:pPr>
      <w:r>
        <w:rPr>
          <w:rFonts w:hint="eastAsia"/>
          <w:b/>
          <w:sz w:val="28"/>
        </w:rPr>
        <w:t>（第一志愿）</w:t>
      </w:r>
    </w:p>
    <w:p>
      <w:pPr>
        <w:spacing w:line="360" w:lineRule="auto"/>
        <w:ind w:firstLine="720" w:firstLineChars="300"/>
        <w:rPr>
          <w:sz w:val="24"/>
        </w:rPr>
      </w:pPr>
      <w:r>
        <w:rPr>
          <w:rFonts w:hint="eastAsia"/>
          <w:sz w:val="24"/>
        </w:rPr>
        <w:t>按照差额比例，确定第一志愿考生复试名单如下（按初试成绩由高到低排列）：</w:t>
      </w:r>
    </w:p>
    <w:tbl>
      <w:tblPr>
        <w:tblStyle w:val="5"/>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5"/>
        <w:gridCol w:w="850"/>
        <w:gridCol w:w="2693"/>
        <w:gridCol w:w="1985"/>
        <w:gridCol w:w="1134"/>
        <w:gridCol w:w="70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jc w:val="center"/>
              <w:rPr>
                <w:rFonts w:ascii="黑体" w:hAnsi="黑体" w:eastAsia="黑体"/>
              </w:rPr>
            </w:pPr>
            <w:r>
              <w:rPr>
                <w:rFonts w:hint="eastAsia" w:ascii="黑体" w:hAnsi="黑体" w:eastAsia="黑体"/>
              </w:rPr>
              <w:t>序号</w:t>
            </w:r>
          </w:p>
        </w:tc>
        <w:tc>
          <w:tcPr>
            <w:tcW w:w="1135" w:type="dxa"/>
            <w:vAlign w:val="center"/>
          </w:tcPr>
          <w:p>
            <w:pPr>
              <w:jc w:val="center"/>
              <w:rPr>
                <w:rFonts w:ascii="黑体" w:hAnsi="黑体" w:eastAsia="黑体"/>
              </w:rPr>
            </w:pPr>
            <w:r>
              <w:rPr>
                <w:rFonts w:hint="eastAsia" w:ascii="黑体" w:hAnsi="黑体" w:eastAsia="黑体"/>
              </w:rPr>
              <w:t>学习方式</w:t>
            </w:r>
          </w:p>
        </w:tc>
        <w:tc>
          <w:tcPr>
            <w:tcW w:w="850" w:type="dxa"/>
            <w:vAlign w:val="center"/>
          </w:tcPr>
          <w:p>
            <w:pPr>
              <w:jc w:val="center"/>
              <w:rPr>
                <w:rFonts w:ascii="黑体" w:hAnsi="黑体" w:eastAsia="黑体"/>
              </w:rPr>
            </w:pPr>
            <w:r>
              <w:rPr>
                <w:rFonts w:hint="eastAsia" w:ascii="黑体" w:hAnsi="黑体" w:eastAsia="黑体"/>
              </w:rPr>
              <w:t>专业</w:t>
            </w:r>
          </w:p>
          <w:p>
            <w:pPr>
              <w:jc w:val="center"/>
              <w:rPr>
                <w:rFonts w:ascii="黑体" w:hAnsi="黑体" w:eastAsia="黑体"/>
              </w:rPr>
            </w:pPr>
            <w:r>
              <w:rPr>
                <w:rFonts w:hint="eastAsia" w:ascii="黑体" w:hAnsi="黑体" w:eastAsia="黑体"/>
              </w:rPr>
              <w:t>代码</w:t>
            </w:r>
          </w:p>
        </w:tc>
        <w:tc>
          <w:tcPr>
            <w:tcW w:w="2693" w:type="dxa"/>
            <w:vAlign w:val="center"/>
          </w:tcPr>
          <w:p>
            <w:pPr>
              <w:jc w:val="center"/>
              <w:rPr>
                <w:rFonts w:ascii="黑体" w:hAnsi="黑体" w:eastAsia="黑体"/>
              </w:rPr>
            </w:pPr>
            <w:r>
              <w:rPr>
                <w:rFonts w:hint="eastAsia" w:ascii="黑体" w:hAnsi="黑体" w:eastAsia="黑体"/>
              </w:rPr>
              <w:t>专业名称</w:t>
            </w:r>
          </w:p>
        </w:tc>
        <w:tc>
          <w:tcPr>
            <w:tcW w:w="1985" w:type="dxa"/>
            <w:vAlign w:val="center"/>
          </w:tcPr>
          <w:p>
            <w:pPr>
              <w:jc w:val="center"/>
              <w:rPr>
                <w:rFonts w:ascii="黑体" w:hAnsi="黑体" w:eastAsia="黑体"/>
              </w:rPr>
            </w:pPr>
            <w:r>
              <w:rPr>
                <w:rFonts w:hint="eastAsia" w:ascii="黑体" w:hAnsi="黑体" w:eastAsia="黑体"/>
              </w:rPr>
              <w:t>考生编号</w:t>
            </w:r>
          </w:p>
        </w:tc>
        <w:tc>
          <w:tcPr>
            <w:tcW w:w="1134" w:type="dxa"/>
            <w:vAlign w:val="center"/>
          </w:tcPr>
          <w:p>
            <w:pPr>
              <w:jc w:val="center"/>
              <w:rPr>
                <w:rFonts w:ascii="黑体" w:hAnsi="黑体" w:eastAsia="黑体"/>
              </w:rPr>
            </w:pPr>
            <w:r>
              <w:rPr>
                <w:rFonts w:hint="eastAsia" w:ascii="黑体" w:hAnsi="黑体" w:eastAsia="黑体"/>
              </w:rPr>
              <w:t>考生姓名</w:t>
            </w:r>
          </w:p>
        </w:tc>
        <w:tc>
          <w:tcPr>
            <w:tcW w:w="709" w:type="dxa"/>
            <w:vAlign w:val="center"/>
          </w:tcPr>
          <w:p>
            <w:pPr>
              <w:jc w:val="center"/>
              <w:rPr>
                <w:rFonts w:ascii="黑体" w:hAnsi="黑体" w:eastAsia="黑体"/>
              </w:rPr>
            </w:pPr>
            <w:r>
              <w:rPr>
                <w:rFonts w:hint="eastAsia" w:ascii="黑体" w:hAnsi="黑体" w:eastAsia="黑体"/>
              </w:rPr>
              <w:t>初试成绩</w:t>
            </w:r>
          </w:p>
        </w:tc>
        <w:tc>
          <w:tcPr>
            <w:tcW w:w="819" w:type="dxa"/>
            <w:vAlign w:val="center"/>
          </w:tcPr>
          <w:p>
            <w:pPr>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425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380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375</w:t>
            </w:r>
          </w:p>
        </w:tc>
        <w:tc>
          <w:tcPr>
            <w:tcW w:w="819" w:type="dxa"/>
            <w:vAlign w:val="center"/>
          </w:tcPr>
          <w:p>
            <w:pPr>
              <w:spacing w:line="3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39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374</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374</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372</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49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59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69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79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89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学科教学（语文）01方向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350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385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381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380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377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375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374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372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360</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bottom"/>
          </w:tcPr>
          <w:p>
            <w:pPr>
              <w:spacing w:line="360" w:lineRule="auto"/>
              <w:jc w:val="center"/>
            </w:pPr>
            <w:r>
              <w:t>14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350</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bottom"/>
          </w:tcPr>
          <w:p>
            <w:pPr>
              <w:spacing w:line="360" w:lineRule="auto"/>
              <w:jc w:val="center"/>
            </w:pPr>
            <w:r>
              <w:t>21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045103</w:t>
            </w:r>
          </w:p>
        </w:tc>
        <w:tc>
          <w:tcPr>
            <w:tcW w:w="2693" w:type="dxa"/>
            <w:vAlign w:val="center"/>
          </w:tcPr>
          <w:p>
            <w:pPr>
              <w:jc w:val="center"/>
            </w:pPr>
            <w:r>
              <w:rPr>
                <w:rFonts w:hint="eastAsia"/>
              </w:rPr>
              <w:t>学科教学（语文）02方向</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350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3</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4</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5</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6</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7</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8</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9</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10</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364</w:t>
            </w:r>
          </w:p>
        </w:tc>
        <w:tc>
          <w:tcPr>
            <w:tcW w:w="819"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11</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12</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13</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14</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15</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16</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17</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18</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19</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20</w:t>
            </w:r>
          </w:p>
        </w:tc>
        <w:tc>
          <w:tcPr>
            <w:tcW w:w="1135" w:type="dxa"/>
            <w:vAlign w:val="center"/>
          </w:tcPr>
          <w:p>
            <w:pPr>
              <w:jc w:val="center"/>
            </w:pPr>
            <w:r>
              <w:rPr>
                <w:rFonts w:hint="eastAsia"/>
              </w:rPr>
              <w:t>非全日制</w:t>
            </w:r>
          </w:p>
        </w:tc>
        <w:tc>
          <w:tcPr>
            <w:tcW w:w="850" w:type="dxa"/>
            <w:vAlign w:val="center"/>
          </w:tcPr>
          <w:p>
            <w:pPr>
              <w:spacing w:line="360" w:lineRule="auto"/>
              <w:jc w:val="center"/>
            </w:pPr>
            <w:r>
              <w:rPr>
                <w:rFonts w:hint="eastAsia"/>
              </w:rPr>
              <w:t>045103</w:t>
            </w:r>
          </w:p>
        </w:tc>
        <w:tc>
          <w:tcPr>
            <w:tcW w:w="2693" w:type="dxa"/>
            <w:vAlign w:val="center"/>
          </w:tcPr>
          <w:p>
            <w:pPr>
              <w:spacing w:line="360" w:lineRule="auto"/>
              <w:jc w:val="center"/>
            </w:pPr>
            <w:r>
              <w:rPr>
                <w:rFonts w:hint="eastAsia"/>
              </w:rPr>
              <w:t>学科教学（语文）03方向</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350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422</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420</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413</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410</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406</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404</w:t>
            </w:r>
          </w:p>
        </w:tc>
        <w:tc>
          <w:tcPr>
            <w:tcW w:w="819" w:type="dxa"/>
            <w:vAlign w:val="center"/>
          </w:tcPr>
          <w:p>
            <w:pPr>
              <w:spacing w:line="360" w:lineRule="auto"/>
              <w:jc w:val="center"/>
              <w:rPr>
                <w:b/>
              </w:rP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402</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402</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401</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398</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397</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393</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392</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392</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389</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050101</w:t>
            </w:r>
          </w:p>
        </w:tc>
        <w:tc>
          <w:tcPr>
            <w:tcW w:w="2693" w:type="dxa"/>
            <w:vAlign w:val="center"/>
          </w:tcPr>
          <w:p>
            <w:pPr>
              <w:spacing w:line="360" w:lineRule="auto"/>
              <w:jc w:val="center"/>
            </w:pPr>
            <w:r>
              <w:rPr>
                <w:rFonts w:hint="eastAsia"/>
              </w:rPr>
              <w:t>文艺学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388</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407</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2</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405</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3</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404</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4</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403</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5</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401</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6</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spacing w:line="360" w:lineRule="auto"/>
              <w:jc w:val="center"/>
              <w:rPr>
                <w:b/>
              </w:rP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7</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391</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8</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390</w:t>
            </w:r>
          </w:p>
        </w:tc>
        <w:tc>
          <w:tcPr>
            <w:tcW w:w="819" w:type="dxa"/>
            <w:vAlign w:val="center"/>
          </w:tcPr>
          <w:p>
            <w:pPr>
              <w:spacing w:line="360" w:lineRule="auto"/>
              <w:jc w:val="center"/>
              <w:rPr>
                <w:b/>
              </w:rP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9</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389</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10</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386</w:t>
            </w:r>
          </w:p>
        </w:tc>
        <w:tc>
          <w:tcPr>
            <w:tcW w:w="819"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11</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381</w:t>
            </w:r>
          </w:p>
        </w:tc>
        <w:tc>
          <w:tcPr>
            <w:tcW w:w="819" w:type="dxa"/>
            <w:vAlign w:val="center"/>
          </w:tcPr>
          <w:p>
            <w:pPr>
              <w:jc w:val="center"/>
              <w:rPr>
                <w:sz w:val="15"/>
                <w:szCs w:val="15"/>
              </w:rP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12</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381</w:t>
            </w:r>
          </w:p>
        </w:tc>
        <w:tc>
          <w:tcPr>
            <w:tcW w:w="819" w:type="dxa"/>
            <w:vAlign w:val="center"/>
          </w:tcPr>
          <w:p>
            <w:pPr>
              <w:jc w:val="center"/>
              <w:rPr>
                <w:sz w:val="15"/>
                <w:szCs w:val="15"/>
              </w:rP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13</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050102</w:t>
            </w:r>
          </w:p>
        </w:tc>
        <w:tc>
          <w:tcPr>
            <w:tcW w:w="2693" w:type="dxa"/>
            <w:vAlign w:val="center"/>
          </w:tcPr>
          <w:p>
            <w:pPr>
              <w:spacing w:line="360" w:lineRule="auto"/>
              <w:jc w:val="center"/>
            </w:pPr>
            <w:r>
              <w:rPr>
                <w:rFonts w:hint="eastAsia"/>
              </w:rPr>
              <w:t>语言学及应用语言学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381</w:t>
            </w:r>
          </w:p>
        </w:tc>
        <w:tc>
          <w:tcPr>
            <w:tcW w:w="819" w:type="dxa"/>
            <w:vAlign w:val="center"/>
          </w:tcPr>
          <w:p>
            <w:pPr>
              <w:jc w:val="center"/>
              <w:rPr>
                <w:sz w:val="15"/>
                <w:szCs w:val="15"/>
              </w:rP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417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393</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371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050103</w:t>
            </w:r>
          </w:p>
        </w:tc>
        <w:tc>
          <w:tcPr>
            <w:tcW w:w="2693" w:type="dxa"/>
            <w:vAlign w:val="center"/>
          </w:tcPr>
          <w:p>
            <w:pPr>
              <w:spacing w:line="360" w:lineRule="auto"/>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10</w:t>
            </w:r>
          </w:p>
        </w:tc>
        <w:tc>
          <w:tcPr>
            <w:tcW w:w="1135" w:type="dxa"/>
            <w:vAlign w:val="center"/>
          </w:tcPr>
          <w:p>
            <w:pPr>
              <w:jc w:val="center"/>
            </w:pPr>
            <w:r>
              <w:rPr>
                <w:rFonts w:hint="eastAsia"/>
              </w:rPr>
              <w:t>全日制</w:t>
            </w:r>
          </w:p>
        </w:tc>
        <w:tc>
          <w:tcPr>
            <w:tcW w:w="850" w:type="dxa"/>
            <w:vAlign w:val="center"/>
          </w:tcPr>
          <w:p>
            <w:pPr>
              <w:jc w:val="center"/>
            </w:pPr>
            <w:r>
              <w:rPr>
                <w:rFonts w:hint="eastAsia"/>
              </w:rPr>
              <w:t>050103</w:t>
            </w:r>
          </w:p>
        </w:tc>
        <w:tc>
          <w:tcPr>
            <w:tcW w:w="2693" w:type="dxa"/>
            <w:vAlign w:val="center"/>
          </w:tcPr>
          <w:p>
            <w:pPr>
              <w:jc w:val="center"/>
            </w:pPr>
            <w:r>
              <w:rPr>
                <w:rFonts w:hint="eastAsia"/>
              </w:rPr>
              <w:t>汉语言文字学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365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t>2</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t>3</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t>4</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t>5</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6</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7</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8</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398</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9</w:t>
            </w:r>
          </w:p>
        </w:tc>
        <w:tc>
          <w:tcPr>
            <w:tcW w:w="1135" w:type="dxa"/>
            <w:vAlign w:val="center"/>
          </w:tcPr>
          <w:p>
            <w:pPr>
              <w:spacing w:line="360" w:lineRule="auto"/>
              <w:jc w:val="center"/>
            </w:pPr>
            <w:r>
              <w:rPr>
                <w:rFonts w:hint="eastAsia"/>
              </w:rPr>
              <w:t>全日制</w:t>
            </w:r>
          </w:p>
        </w:tc>
        <w:tc>
          <w:tcPr>
            <w:tcW w:w="850" w:type="dxa"/>
            <w:vAlign w:val="center"/>
          </w:tcPr>
          <w:p>
            <w:pPr>
              <w:spacing w:line="360" w:lineRule="auto"/>
              <w:jc w:val="center"/>
            </w:pPr>
            <w:r>
              <w:rPr>
                <w:rFonts w:hint="eastAsia"/>
              </w:rPr>
              <w:t>0</w:t>
            </w:r>
            <w:r>
              <w:t>50104</w:t>
            </w:r>
          </w:p>
        </w:tc>
        <w:tc>
          <w:tcPr>
            <w:tcW w:w="2693" w:type="dxa"/>
            <w:vAlign w:val="center"/>
          </w:tcPr>
          <w:p>
            <w:pPr>
              <w:spacing w:line="360" w:lineRule="auto"/>
              <w:jc w:val="center"/>
            </w:pPr>
            <w:r>
              <w:rPr>
                <w:rFonts w:hint="eastAsia"/>
              </w:rPr>
              <w:t>中国古典文献学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cs="Calibri"/>
                <w:color w:val="000000"/>
              </w:rPr>
            </w:pPr>
            <w:r>
              <w:rPr>
                <w:rFonts w:hint="eastAsia" w:cs="Calibri"/>
                <w:color w:val="000000"/>
              </w:rPr>
              <w:t>390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423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412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400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398</w:t>
            </w:r>
          </w:p>
        </w:tc>
        <w:tc>
          <w:tcPr>
            <w:tcW w:w="819" w:type="dxa"/>
            <w:vAlign w:val="center"/>
          </w:tcPr>
          <w:p>
            <w:pPr>
              <w:spacing w:line="360" w:lineRule="auto"/>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18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398</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19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rPr>
                <w:rFonts w:ascii="宋体" w:hAnsi="宋体" w:cs="Calibri"/>
                <w:color w:val="000000"/>
              </w:rPr>
            </w:pPr>
            <w:r>
              <w:rPr>
                <w:rFonts w:hint="eastAsia" w:cs="Calibri"/>
                <w:color w:val="000000"/>
              </w:rPr>
              <w:t>398</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20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397</w:t>
            </w:r>
          </w:p>
        </w:tc>
        <w:tc>
          <w:tcPr>
            <w:tcW w:w="819" w:type="dxa"/>
            <w:vAlign w:val="center"/>
          </w:tcPr>
          <w:p>
            <w:pPr>
              <w:jc w:val="cente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21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050105</w:t>
            </w:r>
          </w:p>
        </w:tc>
        <w:tc>
          <w:tcPr>
            <w:tcW w:w="2693" w:type="dxa"/>
            <w:vAlign w:val="center"/>
          </w:tcPr>
          <w:p>
            <w:pPr>
              <w:spacing w:line="360" w:lineRule="auto"/>
              <w:jc w:val="center"/>
            </w:pPr>
            <w:r>
              <w:rPr>
                <w:rFonts w:hint="eastAsia"/>
              </w:rPr>
              <w:t>中国古代文学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397</w:t>
            </w:r>
          </w:p>
        </w:tc>
        <w:tc>
          <w:tcPr>
            <w:tcW w:w="819" w:type="dxa"/>
            <w:vAlign w:val="center"/>
          </w:tcPr>
          <w:p>
            <w:pPr>
              <w:jc w:val="cente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427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425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424</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413</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412</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411</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410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408</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407</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bottom"/>
          </w:tcPr>
          <w:p>
            <w:pPr>
              <w:spacing w:line="360" w:lineRule="auto"/>
              <w:jc w:val="center"/>
            </w:pPr>
            <w:r>
              <w:t>14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404</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t>17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rPr>
                <w:rFonts w:ascii="宋体" w:hAnsi="宋体" w:cs="Calibri"/>
                <w:color w:val="000000"/>
              </w:rPr>
            </w:pPr>
          </w:p>
        </w:tc>
        <w:tc>
          <w:tcPr>
            <w:tcW w:w="1134" w:type="dxa"/>
            <w:vAlign w:val="center"/>
          </w:tcPr>
          <w:p>
            <w:pPr>
              <w:jc w:val="center"/>
              <w:rPr>
                <w:rFonts w:ascii="宋体" w:hAnsi="宋体" w:cs="Calibri"/>
                <w:color w:val="000000"/>
              </w:rPr>
            </w:pPr>
          </w:p>
        </w:tc>
        <w:tc>
          <w:tcPr>
            <w:tcW w:w="709" w:type="dxa"/>
            <w:vAlign w:val="center"/>
          </w:tcPr>
          <w:p>
            <w:pPr>
              <w:jc w:val="center"/>
            </w:pPr>
            <w:r>
              <w:t>402</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18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jc w:val="cente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19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jc w:val="center"/>
            </w:pPr>
            <w:r>
              <w:rPr>
                <w:rFonts w:hint="eastAsia"/>
                <w:sz w:val="15"/>
                <w:szCs w:val="15"/>
              </w:rPr>
              <w:t>末位同分</w:t>
            </w:r>
          </w:p>
        </w:tc>
      </w:tr>
      <w:tr>
        <w:tblPrEx>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20</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jc w:val="cente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bottom"/>
          </w:tcPr>
          <w:p>
            <w:pPr>
              <w:spacing w:line="360" w:lineRule="auto"/>
              <w:jc w:val="center"/>
            </w:pPr>
            <w:r>
              <w:rPr>
                <w:rFonts w:hint="eastAsia"/>
              </w:rPr>
              <w:t>21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050106</w:t>
            </w:r>
          </w:p>
        </w:tc>
        <w:tc>
          <w:tcPr>
            <w:tcW w:w="2693" w:type="dxa"/>
            <w:vAlign w:val="center"/>
          </w:tcPr>
          <w:p>
            <w:pPr>
              <w:spacing w:line="360" w:lineRule="auto"/>
              <w:jc w:val="center"/>
            </w:pPr>
            <w:r>
              <w:rPr>
                <w:rFonts w:hint="eastAsia"/>
              </w:rPr>
              <w:t>中国现当代文学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400</w:t>
            </w:r>
          </w:p>
        </w:tc>
        <w:tc>
          <w:tcPr>
            <w:tcW w:w="819" w:type="dxa"/>
            <w:vAlign w:val="center"/>
          </w:tcPr>
          <w:p>
            <w:pPr>
              <w:jc w:val="center"/>
            </w:pPr>
            <w:r>
              <w:rPr>
                <w:rFonts w:hint="eastAsia"/>
                <w:sz w:val="15"/>
                <w:szCs w:val="15"/>
              </w:rPr>
              <w:t>末位同分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420</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2</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409</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3</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399</w:t>
            </w:r>
          </w:p>
        </w:tc>
        <w:tc>
          <w:tcPr>
            <w:tcW w:w="819" w:type="dxa"/>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4</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397</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5</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396</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6</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7</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395</w:t>
            </w:r>
          </w:p>
        </w:tc>
        <w:tc>
          <w:tcPr>
            <w:tcW w:w="81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8</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t>389</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9</w:t>
            </w:r>
          </w:p>
        </w:tc>
        <w:tc>
          <w:tcPr>
            <w:tcW w:w="1135" w:type="dxa"/>
            <w:vAlign w:val="center"/>
          </w:tcPr>
          <w:p>
            <w:pPr>
              <w:jc w:val="center"/>
            </w:pPr>
            <w:r>
              <w:rPr>
                <w:rFonts w:hint="eastAsia"/>
              </w:rPr>
              <w:t>全日制</w:t>
            </w:r>
          </w:p>
        </w:tc>
        <w:tc>
          <w:tcPr>
            <w:tcW w:w="850" w:type="dxa"/>
            <w:vAlign w:val="center"/>
          </w:tcPr>
          <w:p>
            <w:pPr>
              <w:spacing w:line="360" w:lineRule="auto"/>
              <w:jc w:val="center"/>
            </w:pPr>
            <w:r>
              <w:rPr>
                <w:rFonts w:hint="eastAsia"/>
              </w:rPr>
              <w:t>0</w:t>
            </w:r>
            <w:r>
              <w:t>50108</w:t>
            </w:r>
          </w:p>
        </w:tc>
        <w:tc>
          <w:tcPr>
            <w:tcW w:w="2693" w:type="dxa"/>
            <w:vAlign w:val="center"/>
          </w:tcPr>
          <w:p>
            <w:pPr>
              <w:spacing w:line="360" w:lineRule="auto"/>
              <w:jc w:val="center"/>
            </w:pPr>
            <w:r>
              <w:rPr>
                <w:rFonts w:hint="eastAsia"/>
              </w:rPr>
              <w:t>比较文学与世界文学</w:t>
            </w:r>
          </w:p>
        </w:tc>
        <w:tc>
          <w:tcPr>
            <w:tcW w:w="1985" w:type="dxa"/>
            <w:vAlign w:val="center"/>
          </w:tcPr>
          <w:p>
            <w:pPr>
              <w:jc w:val="center"/>
            </w:pPr>
          </w:p>
        </w:tc>
        <w:tc>
          <w:tcPr>
            <w:tcW w:w="1134" w:type="dxa"/>
            <w:vAlign w:val="center"/>
          </w:tcPr>
          <w:p>
            <w:pPr>
              <w:jc w:val="center"/>
            </w:pPr>
          </w:p>
        </w:tc>
        <w:tc>
          <w:tcPr>
            <w:tcW w:w="709" w:type="dxa"/>
            <w:vAlign w:val="center"/>
          </w:tcPr>
          <w:p>
            <w:pPr>
              <w:jc w:val="center"/>
            </w:pPr>
            <w:r>
              <w:rPr>
                <w:rFonts w:hint="eastAsia"/>
              </w:rPr>
              <w:t>381</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1</w:t>
            </w:r>
          </w:p>
        </w:tc>
        <w:tc>
          <w:tcPr>
            <w:tcW w:w="1135" w:type="dxa"/>
            <w:vAlign w:val="center"/>
          </w:tcPr>
          <w:p>
            <w:pPr>
              <w:jc w:val="center"/>
            </w:pPr>
            <w:r>
              <w:rPr>
                <w:rFonts w:hint="eastAsia"/>
              </w:rPr>
              <w:t>全日制</w:t>
            </w:r>
          </w:p>
        </w:tc>
        <w:tc>
          <w:tcPr>
            <w:tcW w:w="850" w:type="dxa"/>
            <w:vAlign w:val="center"/>
          </w:tcPr>
          <w:p>
            <w:pPr>
              <w:spacing w:line="360" w:lineRule="auto"/>
              <w:jc w:val="center"/>
              <w:rPr>
                <w:sz w:val="18"/>
                <w:szCs w:val="18"/>
              </w:rPr>
            </w:pPr>
            <w:r>
              <w:rPr>
                <w:rFonts w:hint="eastAsia"/>
                <w:sz w:val="18"/>
                <w:szCs w:val="18"/>
              </w:rPr>
              <w:t>0</w:t>
            </w:r>
            <w:r>
              <w:rPr>
                <w:sz w:val="18"/>
                <w:szCs w:val="18"/>
              </w:rPr>
              <w:t>501</w:t>
            </w:r>
            <w:r>
              <w:rPr>
                <w:rFonts w:hint="eastAsia"/>
                <w:sz w:val="18"/>
                <w:szCs w:val="18"/>
              </w:rPr>
              <w:t>Z2</w:t>
            </w:r>
          </w:p>
        </w:tc>
        <w:tc>
          <w:tcPr>
            <w:tcW w:w="2693" w:type="dxa"/>
            <w:vAlign w:val="center"/>
          </w:tcPr>
          <w:p>
            <w:pPr>
              <w:spacing w:line="360" w:lineRule="auto"/>
              <w:jc w:val="center"/>
            </w:pPr>
            <w:r>
              <w:rPr>
                <w:rFonts w:hint="eastAsia"/>
              </w:rPr>
              <w:t>审美文化学</w:t>
            </w:r>
          </w:p>
        </w:tc>
        <w:tc>
          <w:tcPr>
            <w:tcW w:w="1985" w:type="dxa"/>
          </w:tcPr>
          <w:p/>
        </w:tc>
        <w:tc>
          <w:tcPr>
            <w:tcW w:w="1134" w:type="dxa"/>
            <w:vAlign w:val="center"/>
          </w:tcPr>
          <w:p>
            <w:pPr>
              <w:jc w:val="center"/>
            </w:pPr>
          </w:p>
        </w:tc>
        <w:tc>
          <w:tcPr>
            <w:tcW w:w="709" w:type="dxa"/>
            <w:vAlign w:val="center"/>
          </w:tcPr>
          <w:p>
            <w:pPr>
              <w:jc w:val="center"/>
            </w:pPr>
            <w:r>
              <w:t>426</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2</w:t>
            </w:r>
          </w:p>
        </w:tc>
        <w:tc>
          <w:tcPr>
            <w:tcW w:w="1135" w:type="dxa"/>
            <w:vAlign w:val="center"/>
          </w:tcPr>
          <w:p>
            <w:pPr>
              <w:jc w:val="center"/>
            </w:pPr>
            <w:r>
              <w:rPr>
                <w:rFonts w:hint="eastAsia"/>
              </w:rPr>
              <w:t>全日制</w:t>
            </w:r>
          </w:p>
        </w:tc>
        <w:tc>
          <w:tcPr>
            <w:tcW w:w="850" w:type="dxa"/>
            <w:vAlign w:val="center"/>
          </w:tcPr>
          <w:p>
            <w:pPr>
              <w:spacing w:line="360" w:lineRule="auto"/>
              <w:jc w:val="center"/>
              <w:rPr>
                <w:sz w:val="18"/>
                <w:szCs w:val="18"/>
              </w:rPr>
            </w:pPr>
            <w:r>
              <w:rPr>
                <w:rFonts w:hint="eastAsia"/>
                <w:sz w:val="18"/>
                <w:szCs w:val="18"/>
              </w:rPr>
              <w:t>0</w:t>
            </w:r>
            <w:r>
              <w:rPr>
                <w:sz w:val="18"/>
                <w:szCs w:val="18"/>
              </w:rPr>
              <w:t>501</w:t>
            </w:r>
            <w:r>
              <w:rPr>
                <w:rFonts w:hint="eastAsia"/>
                <w:sz w:val="18"/>
                <w:szCs w:val="18"/>
              </w:rPr>
              <w:t>Z2</w:t>
            </w:r>
          </w:p>
        </w:tc>
        <w:tc>
          <w:tcPr>
            <w:tcW w:w="2693" w:type="dxa"/>
            <w:vAlign w:val="center"/>
          </w:tcPr>
          <w:p>
            <w:pPr>
              <w:spacing w:line="360" w:lineRule="auto"/>
              <w:jc w:val="center"/>
            </w:pPr>
            <w:r>
              <w:rPr>
                <w:rFonts w:hint="eastAsia"/>
              </w:rPr>
              <w:t>审美文化学</w:t>
            </w:r>
          </w:p>
        </w:tc>
        <w:tc>
          <w:tcPr>
            <w:tcW w:w="1985" w:type="dxa"/>
          </w:tcPr>
          <w:p/>
        </w:tc>
        <w:tc>
          <w:tcPr>
            <w:tcW w:w="1134" w:type="dxa"/>
            <w:vAlign w:val="center"/>
          </w:tcPr>
          <w:p>
            <w:pPr>
              <w:jc w:val="center"/>
            </w:pPr>
          </w:p>
        </w:tc>
        <w:tc>
          <w:tcPr>
            <w:tcW w:w="709" w:type="dxa"/>
            <w:vAlign w:val="center"/>
          </w:tcPr>
          <w:p>
            <w:pPr>
              <w:jc w:val="center"/>
            </w:pPr>
            <w:r>
              <w:t>418</w:t>
            </w:r>
          </w:p>
        </w:tc>
        <w:tc>
          <w:tcPr>
            <w:tcW w:w="81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pPr>
            <w:r>
              <w:rPr>
                <w:rFonts w:hint="eastAsia"/>
              </w:rPr>
              <w:t>3</w:t>
            </w:r>
          </w:p>
        </w:tc>
        <w:tc>
          <w:tcPr>
            <w:tcW w:w="1135" w:type="dxa"/>
            <w:vAlign w:val="center"/>
          </w:tcPr>
          <w:p>
            <w:pPr>
              <w:jc w:val="center"/>
            </w:pPr>
            <w:r>
              <w:rPr>
                <w:rFonts w:hint="eastAsia"/>
              </w:rPr>
              <w:t>全日制</w:t>
            </w:r>
          </w:p>
        </w:tc>
        <w:tc>
          <w:tcPr>
            <w:tcW w:w="850" w:type="dxa"/>
            <w:vAlign w:val="center"/>
          </w:tcPr>
          <w:p>
            <w:pPr>
              <w:spacing w:line="360" w:lineRule="auto"/>
              <w:jc w:val="center"/>
              <w:rPr>
                <w:sz w:val="18"/>
                <w:szCs w:val="18"/>
              </w:rPr>
            </w:pPr>
            <w:r>
              <w:rPr>
                <w:rFonts w:hint="eastAsia"/>
                <w:sz w:val="18"/>
                <w:szCs w:val="18"/>
              </w:rPr>
              <w:t>0</w:t>
            </w:r>
            <w:r>
              <w:rPr>
                <w:sz w:val="18"/>
                <w:szCs w:val="18"/>
              </w:rPr>
              <w:t>501</w:t>
            </w:r>
            <w:r>
              <w:rPr>
                <w:rFonts w:hint="eastAsia"/>
                <w:sz w:val="18"/>
                <w:szCs w:val="18"/>
              </w:rPr>
              <w:t>Z2</w:t>
            </w:r>
          </w:p>
        </w:tc>
        <w:tc>
          <w:tcPr>
            <w:tcW w:w="2693" w:type="dxa"/>
            <w:vAlign w:val="center"/>
          </w:tcPr>
          <w:p>
            <w:pPr>
              <w:spacing w:line="360" w:lineRule="auto"/>
              <w:jc w:val="center"/>
            </w:pPr>
            <w:r>
              <w:rPr>
                <w:rFonts w:hint="eastAsia"/>
              </w:rPr>
              <w:t>审美文化学</w:t>
            </w:r>
          </w:p>
        </w:tc>
        <w:tc>
          <w:tcPr>
            <w:tcW w:w="1985" w:type="dxa"/>
          </w:tcPr>
          <w:p/>
        </w:tc>
        <w:tc>
          <w:tcPr>
            <w:tcW w:w="1134" w:type="dxa"/>
            <w:vAlign w:val="center"/>
          </w:tcPr>
          <w:p>
            <w:pPr>
              <w:jc w:val="center"/>
            </w:pPr>
          </w:p>
        </w:tc>
        <w:tc>
          <w:tcPr>
            <w:tcW w:w="709" w:type="dxa"/>
            <w:vAlign w:val="center"/>
          </w:tcPr>
          <w:p>
            <w:pPr>
              <w:jc w:val="center"/>
            </w:pPr>
            <w:r>
              <w:t>380</w:t>
            </w:r>
          </w:p>
        </w:tc>
        <w:tc>
          <w:tcPr>
            <w:tcW w:w="819" w:type="dxa"/>
            <w:vAlign w:val="center"/>
          </w:tcPr>
          <w:p>
            <w:pPr>
              <w:jc w:val="center"/>
            </w:pP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5880" w:firstLineChars="2450"/>
        <w:rPr>
          <w:sz w:val="24"/>
        </w:rPr>
      </w:pPr>
      <w:r>
        <w:rPr>
          <w:rFonts w:hint="eastAsia"/>
          <w:sz w:val="24"/>
        </w:rPr>
        <w:t>文学院</w:t>
      </w:r>
    </w:p>
    <w:p>
      <w:pPr>
        <w:spacing w:line="360" w:lineRule="auto"/>
        <w:ind w:firstLine="480"/>
        <w:rPr>
          <w:sz w:val="24"/>
        </w:rPr>
      </w:pPr>
      <w:r>
        <w:rPr>
          <w:rFonts w:hint="eastAsia"/>
          <w:sz w:val="24"/>
        </w:rPr>
        <w:t xml:space="preserve">                                        2024年 3月21日</w:t>
      </w:r>
    </w:p>
    <w:p>
      <w:pPr>
        <w:spacing w:line="360" w:lineRule="auto"/>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sz w:val="24"/>
        </w:rPr>
      </w:pPr>
      <w:r>
        <w:rPr>
          <w:rFonts w:hint="eastAsia" w:ascii="宋体" w:hAnsi="宋体"/>
          <w:sz w:val="24"/>
        </w:rPr>
        <w:t>附件3：</w:t>
      </w:r>
    </w:p>
    <w:p>
      <w:pPr>
        <w:rPr>
          <w:rFonts w:ascii="宋体" w:hAnsi="宋体"/>
          <w:sz w:val="24"/>
        </w:rPr>
      </w:pPr>
    </w:p>
    <w:p>
      <w:pPr>
        <w:jc w:val="center"/>
        <w:rPr>
          <w:rFonts w:ascii="华文中宋" w:hAnsi="华文中宋" w:eastAsia="华文中宋"/>
          <w:b/>
          <w:sz w:val="30"/>
          <w:szCs w:val="30"/>
        </w:rPr>
      </w:pPr>
      <w:r>
        <w:rPr>
          <w:rFonts w:hint="eastAsia" w:ascii="华文中宋" w:hAnsi="华文中宋" w:eastAsia="华文中宋"/>
          <w:b/>
          <w:sz w:val="30"/>
          <w:szCs w:val="30"/>
        </w:rPr>
        <w:t>公费定向项目就业地区意向登记表</w:t>
      </w:r>
    </w:p>
    <w:p>
      <w:pPr>
        <w:jc w:val="center"/>
        <w:rPr>
          <w:rFonts w:ascii="华文中宋" w:hAnsi="华文中宋" w:eastAsia="华文中宋"/>
          <w:b/>
          <w:sz w:val="30"/>
          <w:szCs w:val="30"/>
        </w:rPr>
      </w:pPr>
    </w:p>
    <w:p>
      <w:pPr>
        <w:rPr>
          <w:rFonts w:ascii="华文中宋" w:hAnsi="华文中宋" w:eastAsia="华文中宋"/>
          <w:b/>
        </w:rPr>
      </w:pPr>
      <w:r>
        <w:rPr>
          <w:rFonts w:hint="eastAsia" w:ascii="华文中宋" w:hAnsi="华文中宋" w:eastAsia="华文中宋"/>
        </w:rPr>
        <w:t>姓名（签名）：　　　      考生编号：　　　　　　　　       手机号码：</w:t>
      </w:r>
    </w:p>
    <w:tbl>
      <w:tblPr>
        <w:tblStyle w:val="5"/>
        <w:tblW w:w="9421"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2694"/>
        <w:gridCol w:w="257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421" w:type="dxa"/>
            <w:gridSpan w:val="4"/>
            <w:vAlign w:val="center"/>
          </w:tcPr>
          <w:p>
            <w:pPr>
              <w:jc w:val="center"/>
              <w:rPr>
                <w:rFonts w:ascii="黑体" w:hAnsi="黑体" w:eastAsia="黑体"/>
                <w:sz w:val="24"/>
              </w:rPr>
            </w:pPr>
            <w:r>
              <w:rPr>
                <w:rFonts w:hint="eastAsia" w:ascii="黑体" w:hAnsi="黑体" w:eastAsia="黑体"/>
                <w:sz w:val="24"/>
              </w:rPr>
              <w:t>定向就业地区选择顺序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923" w:type="dxa"/>
            <w:vAlign w:val="center"/>
          </w:tcPr>
          <w:p>
            <w:pPr>
              <w:jc w:val="center"/>
              <w:rPr>
                <w:sz w:val="24"/>
              </w:rPr>
            </w:pPr>
            <w:r>
              <w:rPr>
                <w:rFonts w:hint="eastAsia"/>
                <w:sz w:val="24"/>
              </w:rPr>
              <w:t>一</w:t>
            </w:r>
          </w:p>
        </w:tc>
        <w:tc>
          <w:tcPr>
            <w:tcW w:w="2694" w:type="dxa"/>
            <w:vAlign w:val="center"/>
          </w:tcPr>
          <w:p>
            <w:pPr>
              <w:jc w:val="center"/>
              <w:rPr>
                <w:sz w:val="24"/>
              </w:rPr>
            </w:pPr>
            <w:r>
              <w:rPr>
                <w:rFonts w:hint="eastAsia"/>
                <w:sz w:val="24"/>
              </w:rPr>
              <w:t>二</w:t>
            </w:r>
          </w:p>
        </w:tc>
        <w:tc>
          <w:tcPr>
            <w:tcW w:w="2571" w:type="dxa"/>
            <w:vAlign w:val="center"/>
          </w:tcPr>
          <w:p>
            <w:pPr>
              <w:jc w:val="center"/>
              <w:rPr>
                <w:sz w:val="24"/>
              </w:rPr>
            </w:pPr>
            <w:r>
              <w:rPr>
                <w:rFonts w:hint="eastAsia"/>
                <w:sz w:val="24"/>
              </w:rPr>
              <w:t>三</w:t>
            </w:r>
          </w:p>
        </w:tc>
        <w:tc>
          <w:tcPr>
            <w:tcW w:w="1233" w:type="dxa"/>
            <w:tcBorders>
              <w:right w:val="single" w:color="auto" w:sz="4" w:space="0"/>
            </w:tcBorders>
            <w:vAlign w:val="center"/>
          </w:tcPr>
          <w:p>
            <w:pPr>
              <w:spacing w:line="300" w:lineRule="exact"/>
              <w:jc w:val="center"/>
              <w:rPr>
                <w:sz w:val="24"/>
              </w:rPr>
            </w:pPr>
            <w:r>
              <w:rPr>
                <w:rFonts w:hint="eastAsia"/>
                <w:sz w:val="24"/>
              </w:rPr>
              <w:t>服从调剂（是/否）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23" w:type="dxa"/>
            <w:vAlign w:val="center"/>
          </w:tcPr>
          <w:p>
            <w:pPr>
              <w:jc w:val="center"/>
              <w:rPr>
                <w:sz w:val="24"/>
              </w:rPr>
            </w:pPr>
          </w:p>
        </w:tc>
        <w:tc>
          <w:tcPr>
            <w:tcW w:w="2694" w:type="dxa"/>
            <w:vAlign w:val="center"/>
          </w:tcPr>
          <w:p>
            <w:pPr>
              <w:jc w:val="center"/>
              <w:rPr>
                <w:sz w:val="24"/>
              </w:rPr>
            </w:pPr>
          </w:p>
        </w:tc>
        <w:tc>
          <w:tcPr>
            <w:tcW w:w="2571" w:type="dxa"/>
            <w:vAlign w:val="center"/>
          </w:tcPr>
          <w:p>
            <w:pPr>
              <w:jc w:val="center"/>
              <w:rPr>
                <w:sz w:val="24"/>
              </w:rPr>
            </w:pPr>
          </w:p>
        </w:tc>
        <w:tc>
          <w:tcPr>
            <w:tcW w:w="1233" w:type="dxa"/>
            <w:tcBorders>
              <w:right w:val="single" w:color="auto" w:sz="4" w:space="0"/>
            </w:tcBorders>
            <w:vAlign w:val="center"/>
          </w:tcPr>
          <w:p>
            <w:pPr>
              <w:jc w:val="center"/>
              <w:rPr>
                <w:sz w:val="24"/>
              </w:rPr>
            </w:pPr>
          </w:p>
        </w:tc>
      </w:tr>
    </w:tbl>
    <w:p>
      <w:pPr>
        <w:rPr>
          <w:rFonts w:ascii="黑体" w:hAnsi="黑体" w:eastAsia="黑体"/>
          <w:sz w:val="24"/>
        </w:rPr>
      </w:pPr>
      <w:r>
        <w:rPr>
          <w:rFonts w:hint="eastAsia" w:ascii="黑体" w:hAnsi="黑体" w:eastAsia="黑体"/>
          <w:sz w:val="28"/>
          <w:szCs w:val="28"/>
        </w:rPr>
        <w:t>　　　　　　　　　　　　　　　　　　　　　　　　　　　　　　　　　　　　　　　　　</w:t>
      </w:r>
    </w:p>
    <w:p>
      <w:pPr>
        <w:rPr>
          <w:rFonts w:ascii="黑体" w:hAnsi="黑体" w:eastAsia="黑体"/>
          <w:sz w:val="28"/>
          <w:szCs w:val="28"/>
        </w:rPr>
      </w:pPr>
      <w:r>
        <w:rPr>
          <w:rFonts w:hint="eastAsia" w:ascii="黑体" w:hAnsi="黑体" w:eastAsia="黑体"/>
          <w:sz w:val="28"/>
          <w:szCs w:val="28"/>
        </w:rPr>
        <w:t>备注：</w:t>
      </w:r>
    </w:p>
    <w:p>
      <w:pPr>
        <w:spacing w:line="360" w:lineRule="auto"/>
        <w:ind w:firstLine="480" w:firstLineChars="200"/>
        <w:rPr>
          <w:sz w:val="24"/>
        </w:rPr>
      </w:pPr>
      <w:r>
        <w:rPr>
          <w:rFonts w:hint="eastAsia"/>
          <w:sz w:val="24"/>
        </w:rPr>
        <w:t xml:space="preserve">1. </w:t>
      </w:r>
      <w:r>
        <w:rPr>
          <w:rFonts w:hint="eastAsia"/>
          <w:b/>
          <w:sz w:val="24"/>
        </w:rPr>
        <w:t>定向录取地区和名额：</w:t>
      </w:r>
      <w:r>
        <w:rPr>
          <w:rFonts w:hint="eastAsia"/>
          <w:sz w:val="24"/>
        </w:rPr>
        <w:t>汕头市（南澳县）1人；惠州市（博罗县）4人、梅州市（梅县区）2人、梅州市（大埔县）3人；梅州市（丰顺县）2人、梅州市（兴宁市）2人、汕尾市（海丰县）1人；汕尾市（陆河县）1人、潮州市（潮安区）2人、揭阳市（揭西县）2人、揭阳市（惠来县）5人。</w:t>
      </w:r>
    </w:p>
    <w:p>
      <w:pPr>
        <w:spacing w:line="360" w:lineRule="auto"/>
        <w:ind w:firstLine="480" w:firstLineChars="200"/>
        <w:rPr>
          <w:sz w:val="24"/>
        </w:rPr>
      </w:pPr>
      <w:r>
        <w:rPr>
          <w:rFonts w:hint="eastAsia"/>
          <w:sz w:val="24"/>
        </w:rPr>
        <w:t>2. 直接填写定向地区意向，需具体到市（县/区）。最后根据复试后的总成绩由高到低确定拟录取考生的定向地区。</w:t>
      </w:r>
    </w:p>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sz w:val="24"/>
        </w:rPr>
      </w:pPr>
      <w:r>
        <w:rPr>
          <w:rFonts w:hint="eastAsia" w:ascii="宋体" w:hAnsi="宋体"/>
          <w:sz w:val="24"/>
        </w:rPr>
        <w:t>附件4：</w:t>
      </w:r>
    </w:p>
    <w:p>
      <w:pPr>
        <w:rPr>
          <w:rFonts w:ascii="宋体" w:hAnsi="宋体"/>
          <w:sz w:val="24"/>
        </w:rPr>
      </w:pPr>
    </w:p>
    <w:p>
      <w:pPr>
        <w:jc w:val="center"/>
        <w:rPr>
          <w:rFonts w:ascii="华文中宋" w:hAnsi="华文中宋" w:eastAsia="华文中宋"/>
          <w:b/>
          <w:sz w:val="30"/>
          <w:szCs w:val="30"/>
        </w:rPr>
      </w:pPr>
      <w:r>
        <w:rPr>
          <w:rFonts w:hint="eastAsia" w:ascii="华文中宋" w:hAnsi="华文中宋" w:eastAsia="华文中宋"/>
          <w:b/>
          <w:sz w:val="30"/>
          <w:szCs w:val="30"/>
        </w:rPr>
        <w:t>学科教学（语文）01方向录取意向登记表</w:t>
      </w:r>
    </w:p>
    <w:p>
      <w:pPr>
        <w:jc w:val="center"/>
        <w:rPr>
          <w:rFonts w:ascii="华文中宋" w:hAnsi="华文中宋" w:eastAsia="华文中宋"/>
          <w:b/>
          <w:sz w:val="30"/>
          <w:szCs w:val="30"/>
        </w:rPr>
      </w:pPr>
    </w:p>
    <w:p>
      <w:pPr>
        <w:rPr>
          <w:rFonts w:ascii="华文中宋" w:hAnsi="华文中宋" w:eastAsia="华文中宋"/>
          <w:b/>
        </w:rPr>
      </w:pPr>
      <w:r>
        <w:rPr>
          <w:rFonts w:hint="eastAsia" w:ascii="华文中宋" w:hAnsi="华文中宋" w:eastAsia="华文中宋"/>
        </w:rPr>
        <w:t>姓名（签名）：　　　      考生编号：　　　　　　　　       手机号码：</w:t>
      </w:r>
    </w:p>
    <w:tbl>
      <w:tblPr>
        <w:tblStyle w:val="5"/>
        <w:tblW w:w="9421"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212"/>
        <w:gridCol w:w="6"/>
        <w:gridCol w:w="192"/>
        <w:gridCol w:w="226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10" w:type="dxa"/>
            <w:gridSpan w:val="2"/>
            <w:vAlign w:val="center"/>
          </w:tcPr>
          <w:p>
            <w:pPr>
              <w:jc w:val="center"/>
              <w:rPr>
                <w:rFonts w:ascii="黑体" w:hAnsi="黑体" w:eastAsia="黑体"/>
                <w:sz w:val="24"/>
              </w:rPr>
            </w:pPr>
            <w:r>
              <w:rPr>
                <w:rFonts w:hint="eastAsia" w:ascii="黑体" w:hAnsi="黑体" w:eastAsia="黑体"/>
                <w:sz w:val="24"/>
              </w:rPr>
              <w:t>如复试后排名靠后，是否同意拟录取为联合培养专项（是/否）</w:t>
            </w:r>
          </w:p>
        </w:tc>
        <w:tc>
          <w:tcPr>
            <w:tcW w:w="4711" w:type="dxa"/>
            <w:gridSpan w:val="4"/>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716" w:type="dxa"/>
            <w:gridSpan w:val="3"/>
            <w:tcBorders>
              <w:right w:val="single" w:color="auto" w:sz="4" w:space="0"/>
            </w:tcBorders>
            <w:vAlign w:val="center"/>
          </w:tcPr>
          <w:p>
            <w:pPr>
              <w:spacing w:line="300" w:lineRule="exact"/>
              <w:jc w:val="center"/>
              <w:rPr>
                <w:b/>
                <w:sz w:val="24"/>
              </w:rPr>
            </w:pPr>
            <w:r>
              <w:rPr>
                <w:rFonts w:hint="eastAsia"/>
                <w:b/>
                <w:sz w:val="24"/>
              </w:rPr>
              <w:t>如复试后排名靠后，是否同意调剂到学科教学（语文）02方向录取（是/否）</w:t>
            </w:r>
          </w:p>
        </w:tc>
        <w:tc>
          <w:tcPr>
            <w:tcW w:w="4705" w:type="dxa"/>
            <w:gridSpan w:val="3"/>
            <w:tcBorders>
              <w:right w:val="single" w:color="auto" w:sz="4" w:space="0"/>
            </w:tcBorders>
            <w:vAlign w:val="center"/>
          </w:tcPr>
          <w:p>
            <w:pPr>
              <w:spacing w:line="30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21" w:type="dxa"/>
            <w:gridSpan w:val="6"/>
            <w:tcBorders>
              <w:right w:val="single" w:color="auto" w:sz="4" w:space="0"/>
            </w:tcBorders>
            <w:vAlign w:val="center"/>
          </w:tcPr>
          <w:p>
            <w:pPr>
              <w:spacing w:line="300" w:lineRule="exact"/>
              <w:jc w:val="center"/>
              <w:rPr>
                <w:b/>
                <w:sz w:val="24"/>
              </w:rPr>
            </w:pPr>
            <w:r>
              <w:rPr>
                <w:rFonts w:hint="eastAsia"/>
                <w:b/>
                <w:sz w:val="24"/>
              </w:rPr>
              <w:t>联合培养意向学校志愿顺序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98" w:type="dxa"/>
            <w:vAlign w:val="center"/>
          </w:tcPr>
          <w:p>
            <w:pPr>
              <w:jc w:val="center"/>
              <w:rPr>
                <w:sz w:val="24"/>
              </w:rPr>
            </w:pPr>
            <w:r>
              <w:rPr>
                <w:rFonts w:hint="eastAsia"/>
                <w:sz w:val="24"/>
              </w:rPr>
              <w:t>一</w:t>
            </w:r>
          </w:p>
        </w:tc>
        <w:tc>
          <w:tcPr>
            <w:tcW w:w="2410" w:type="dxa"/>
            <w:gridSpan w:val="3"/>
            <w:vAlign w:val="center"/>
          </w:tcPr>
          <w:p>
            <w:pPr>
              <w:jc w:val="center"/>
              <w:rPr>
                <w:sz w:val="24"/>
              </w:rPr>
            </w:pPr>
            <w:r>
              <w:rPr>
                <w:rFonts w:hint="eastAsia"/>
                <w:sz w:val="24"/>
              </w:rPr>
              <w:t>二</w:t>
            </w:r>
          </w:p>
        </w:tc>
        <w:tc>
          <w:tcPr>
            <w:tcW w:w="2261" w:type="dxa"/>
            <w:tcBorders>
              <w:right w:val="single" w:color="auto" w:sz="4" w:space="0"/>
            </w:tcBorders>
            <w:vAlign w:val="center"/>
          </w:tcPr>
          <w:p>
            <w:pPr>
              <w:spacing w:line="300" w:lineRule="exact"/>
              <w:jc w:val="center"/>
              <w:rPr>
                <w:sz w:val="24"/>
              </w:rPr>
            </w:pPr>
            <w:r>
              <w:rPr>
                <w:rFonts w:hint="eastAsia"/>
                <w:sz w:val="24"/>
              </w:rPr>
              <w:t>三</w:t>
            </w:r>
          </w:p>
        </w:tc>
        <w:tc>
          <w:tcPr>
            <w:tcW w:w="2252" w:type="dxa"/>
            <w:tcBorders>
              <w:right w:val="single" w:color="auto" w:sz="4" w:space="0"/>
            </w:tcBorders>
            <w:vAlign w:val="center"/>
          </w:tcPr>
          <w:p>
            <w:pPr>
              <w:spacing w:line="300" w:lineRule="exact"/>
              <w:jc w:val="center"/>
              <w:rPr>
                <w:sz w:val="24"/>
              </w:rPr>
            </w:pPr>
            <w:r>
              <w:rPr>
                <w:rFonts w:hint="eastAsia"/>
                <w:sz w:val="24"/>
              </w:rPr>
              <w:t>服从调剂（是/否）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498" w:type="dxa"/>
            <w:vAlign w:val="center"/>
          </w:tcPr>
          <w:p>
            <w:pPr>
              <w:jc w:val="center"/>
              <w:rPr>
                <w:sz w:val="24"/>
              </w:rPr>
            </w:pPr>
          </w:p>
        </w:tc>
        <w:tc>
          <w:tcPr>
            <w:tcW w:w="2410" w:type="dxa"/>
            <w:gridSpan w:val="3"/>
            <w:vAlign w:val="center"/>
          </w:tcPr>
          <w:p>
            <w:pPr>
              <w:jc w:val="center"/>
              <w:rPr>
                <w:sz w:val="24"/>
              </w:rPr>
            </w:pPr>
          </w:p>
        </w:tc>
        <w:tc>
          <w:tcPr>
            <w:tcW w:w="2261" w:type="dxa"/>
            <w:tcBorders>
              <w:bottom w:val="single" w:color="auto" w:sz="4" w:space="0"/>
              <w:right w:val="single" w:color="auto" w:sz="4" w:space="0"/>
            </w:tcBorders>
            <w:vAlign w:val="center"/>
          </w:tcPr>
          <w:p>
            <w:pPr>
              <w:jc w:val="center"/>
              <w:rPr>
                <w:sz w:val="24"/>
              </w:rPr>
            </w:pPr>
          </w:p>
        </w:tc>
        <w:tc>
          <w:tcPr>
            <w:tcW w:w="2252" w:type="dxa"/>
            <w:tcBorders>
              <w:right w:val="single" w:color="auto" w:sz="4" w:space="0"/>
            </w:tcBorders>
            <w:vAlign w:val="center"/>
          </w:tcPr>
          <w:p>
            <w:pPr>
              <w:jc w:val="center"/>
              <w:rPr>
                <w:sz w:val="24"/>
              </w:rPr>
            </w:pPr>
          </w:p>
        </w:tc>
      </w:tr>
    </w:tbl>
    <w:p>
      <w:pPr>
        <w:rPr>
          <w:rFonts w:ascii="黑体" w:hAnsi="黑体" w:eastAsia="黑体"/>
          <w:sz w:val="24"/>
        </w:rPr>
      </w:pPr>
      <w:r>
        <w:rPr>
          <w:rFonts w:hint="eastAsia" w:ascii="黑体" w:hAnsi="黑体" w:eastAsia="黑体"/>
          <w:sz w:val="28"/>
          <w:szCs w:val="28"/>
        </w:rPr>
        <w:t>　　　　　　　　　　　　　　　　　　　　　　　　　　　　　　　　　　　　　　　　　</w:t>
      </w:r>
    </w:p>
    <w:p>
      <w:pPr>
        <w:rPr>
          <w:rFonts w:ascii="黑体" w:hAnsi="黑体" w:eastAsia="黑体"/>
          <w:sz w:val="28"/>
          <w:szCs w:val="28"/>
        </w:rPr>
      </w:pPr>
      <w:r>
        <w:rPr>
          <w:rFonts w:hint="eastAsia" w:ascii="黑体" w:hAnsi="黑体" w:eastAsia="黑体"/>
          <w:sz w:val="28"/>
          <w:szCs w:val="28"/>
        </w:rPr>
        <w:t>备注：</w:t>
      </w:r>
    </w:p>
    <w:p>
      <w:pPr>
        <w:spacing w:line="360" w:lineRule="auto"/>
        <w:ind w:firstLine="480" w:firstLineChars="200"/>
        <w:rPr>
          <w:sz w:val="24"/>
        </w:rPr>
      </w:pPr>
      <w:r>
        <w:rPr>
          <w:rFonts w:hint="eastAsia"/>
          <w:sz w:val="24"/>
        </w:rPr>
        <w:t xml:space="preserve">1. </w:t>
      </w:r>
      <w:r>
        <w:rPr>
          <w:rFonts w:hint="eastAsia"/>
          <w:b/>
          <w:sz w:val="24"/>
        </w:rPr>
        <w:t>联合培养学校：</w:t>
      </w:r>
      <w:r>
        <w:rPr>
          <w:rFonts w:hint="eastAsia"/>
          <w:sz w:val="24"/>
        </w:rPr>
        <w:t>嘉应学院、惠州学院、广二师</w:t>
      </w:r>
    </w:p>
    <w:p>
      <w:pPr>
        <w:spacing w:line="360" w:lineRule="auto"/>
        <w:ind w:firstLine="480" w:firstLineChars="200"/>
        <w:rPr>
          <w:sz w:val="24"/>
        </w:rPr>
      </w:pPr>
      <w:r>
        <w:rPr>
          <w:rFonts w:hint="eastAsia"/>
          <w:sz w:val="24"/>
        </w:rPr>
        <w:t>2. 联合培养学籍与课程教学管理在本院执行，采用双导师制进行培养，实习阶段由联合培养学校具体安排，毕业证与学位证与我院普通培养完全一致。</w:t>
      </w:r>
    </w:p>
    <w:p/>
    <w:p>
      <w:pPr>
        <w:spacing w:line="360" w:lineRule="auto"/>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zhhNTY1Y2RhOTZjNzk0ZmVmMjM4NDU5YjRiZmMifQ=="/>
  </w:docVars>
  <w:rsids>
    <w:rsidRoot w:val="001C64EC"/>
    <w:rsid w:val="000E48AC"/>
    <w:rsid w:val="0013209F"/>
    <w:rsid w:val="00141CD7"/>
    <w:rsid w:val="00197074"/>
    <w:rsid w:val="001C64EC"/>
    <w:rsid w:val="001E4E18"/>
    <w:rsid w:val="002872DC"/>
    <w:rsid w:val="002A6E02"/>
    <w:rsid w:val="00305562"/>
    <w:rsid w:val="00355426"/>
    <w:rsid w:val="003772DD"/>
    <w:rsid w:val="00382598"/>
    <w:rsid w:val="003866D0"/>
    <w:rsid w:val="003A629E"/>
    <w:rsid w:val="004770E0"/>
    <w:rsid w:val="00632CB6"/>
    <w:rsid w:val="00687FC4"/>
    <w:rsid w:val="006931AF"/>
    <w:rsid w:val="006C5ACA"/>
    <w:rsid w:val="006D30EB"/>
    <w:rsid w:val="006F6576"/>
    <w:rsid w:val="00711BAC"/>
    <w:rsid w:val="00713442"/>
    <w:rsid w:val="007B2ECB"/>
    <w:rsid w:val="007E54A4"/>
    <w:rsid w:val="008250F4"/>
    <w:rsid w:val="00875CB5"/>
    <w:rsid w:val="008D796F"/>
    <w:rsid w:val="008F1328"/>
    <w:rsid w:val="00A4277C"/>
    <w:rsid w:val="00A66422"/>
    <w:rsid w:val="00AF1855"/>
    <w:rsid w:val="00B01862"/>
    <w:rsid w:val="00C50264"/>
    <w:rsid w:val="00C77757"/>
    <w:rsid w:val="00CA70D8"/>
    <w:rsid w:val="00CD4DAE"/>
    <w:rsid w:val="00D14F98"/>
    <w:rsid w:val="00D44A53"/>
    <w:rsid w:val="00D604CC"/>
    <w:rsid w:val="00D621DD"/>
    <w:rsid w:val="00D72F22"/>
    <w:rsid w:val="00DC3517"/>
    <w:rsid w:val="00DD02C0"/>
    <w:rsid w:val="00DE47FC"/>
    <w:rsid w:val="00DF0BB9"/>
    <w:rsid w:val="00E843D2"/>
    <w:rsid w:val="00E94C9B"/>
    <w:rsid w:val="00EC059D"/>
    <w:rsid w:val="00EE11AE"/>
    <w:rsid w:val="00EE6EFD"/>
    <w:rsid w:val="00F077D7"/>
    <w:rsid w:val="00F15DD8"/>
    <w:rsid w:val="00FF387E"/>
    <w:rsid w:val="02CD2DB7"/>
    <w:rsid w:val="04F05E33"/>
    <w:rsid w:val="06A055EB"/>
    <w:rsid w:val="09CD51E9"/>
    <w:rsid w:val="0DF45341"/>
    <w:rsid w:val="19E36F72"/>
    <w:rsid w:val="2E552C39"/>
    <w:rsid w:val="3CB80A6C"/>
    <w:rsid w:val="59EE6838"/>
    <w:rsid w:val="5FD52DA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none"/>
    </w:rPr>
  </w:style>
  <w:style w:type="character" w:customStyle="1" w:styleId="8">
    <w:name w:val="15"/>
    <w:qFormat/>
    <w:uiPriority w:val="0"/>
    <w:rPr>
      <w:rFonts w:hint="default" w:ascii="Calibri" w:hAnsi="Calibri"/>
      <w:color w:val="0000FF"/>
    </w:rPr>
  </w:style>
  <w:style w:type="character" w:customStyle="1" w:styleId="9">
    <w:name w:val="批注框文本 Char"/>
    <w:basedOn w:val="6"/>
    <w:link w:val="2"/>
    <w:uiPriority w:val="0"/>
    <w:rPr>
      <w:rFonts w:ascii="Times New Roman" w:hAnsi="Times New Roman"/>
      <w:kern w:val="2"/>
      <w:sz w:val="18"/>
      <w:szCs w:val="18"/>
    </w:rPr>
  </w:style>
  <w:style w:type="character" w:customStyle="1" w:styleId="10">
    <w:name w:val="页眉 Char"/>
    <w:basedOn w:val="6"/>
    <w:link w:val="4"/>
    <w:uiPriority w:val="99"/>
    <w:rPr>
      <w:rFonts w:ascii="Times New Roman" w:hAnsi="Times New Roman"/>
      <w:kern w:val="2"/>
      <w:sz w:val="18"/>
      <w:szCs w:val="18"/>
    </w:rPr>
  </w:style>
  <w:style w:type="character" w:customStyle="1" w:styleId="11">
    <w:name w:val="页脚 Char"/>
    <w:basedOn w:val="6"/>
    <w:link w:val="3"/>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2655</Words>
  <Characters>15137</Characters>
  <Lines>126</Lines>
  <Paragraphs>35</Paragraphs>
  <TotalTime>129</TotalTime>
  <ScaleCrop>false</ScaleCrop>
  <LinksUpToDate>false</LinksUpToDate>
  <CharactersWithSpaces>17757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海灵古（SHL）</cp:lastModifiedBy>
  <cp:lastPrinted>2024-03-21T01:31:00Z</cp:lastPrinted>
  <dcterms:modified xsi:type="dcterms:W3CDTF">2024-03-30T08:12:01Z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0BBAA73D84B24B0FB82DA8664ED27900</vt:lpwstr>
  </property>
</Properties>
</file>